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665" w:rsidRPr="007D2718" w:rsidRDefault="00131F3C" w:rsidP="00131F3C">
      <w:pPr>
        <w:pStyle w:val="JPaperTitle"/>
        <w:suppressAutoHyphens/>
        <w:rPr>
          <w:rFonts w:cs="Times New Roman"/>
        </w:rPr>
      </w:pPr>
      <w:bookmarkStart w:id="0" w:name="_GoBack"/>
      <w:bookmarkEnd w:id="0"/>
      <w:r w:rsidRPr="00131F3C">
        <w:rPr>
          <w:rFonts w:cs="Times New Roman"/>
        </w:rPr>
        <w:t xml:space="preserve">FIELD QUALITY </w:t>
      </w:r>
      <w:r>
        <w:rPr>
          <w:rFonts w:cs="Times New Roman"/>
        </w:rPr>
        <w:t xml:space="preserve">ANALYSIS OF INTERACTION REGION </w:t>
      </w:r>
      <w:r w:rsidRPr="00131F3C">
        <w:rPr>
          <w:rFonts w:cs="Times New Roman"/>
        </w:rPr>
        <w:t>QUADRUPOLES FOR JLE</w:t>
      </w:r>
      <w:r w:rsidR="00A6779B">
        <w:rPr>
          <w:rFonts w:cs="Times New Roman"/>
        </w:rPr>
        <w:t>IC</w:t>
      </w:r>
      <w:r w:rsidR="00891323" w:rsidRPr="007D2718">
        <w:rPr>
          <w:rFonts w:cs="Times New Roman"/>
          <w:szCs w:val="28"/>
        </w:rPr>
        <w:t>*</w:t>
      </w:r>
    </w:p>
    <w:p w:rsidR="00C66BC4" w:rsidRPr="007D2718" w:rsidRDefault="00131F3C" w:rsidP="00C66BC4">
      <w:pPr>
        <w:pStyle w:val="JAuthorList"/>
        <w:sectPr w:rsidR="00C66BC4" w:rsidRPr="007D2718" w:rsidSect="00C66BC4">
          <w:footnotePr>
            <w:pos w:val="beneathText"/>
            <w:numFmt w:val="chicago"/>
          </w:footnotePr>
          <w:endnotePr>
            <w:numFmt w:val="decimal"/>
          </w:endnotePr>
          <w:pgSz w:w="12240" w:h="15840" w:code="1"/>
          <w:pgMar w:top="1077" w:right="1474" w:bottom="1077" w:left="1134" w:header="2104" w:footer="1077" w:gutter="0"/>
          <w:cols w:space="288"/>
          <w:docGrid w:linePitch="360"/>
        </w:sectPr>
      </w:pPr>
      <w:r>
        <w:t>G. Sabbi</w:t>
      </w:r>
      <w:r w:rsidR="00D6236A" w:rsidRPr="007D2718">
        <w:rPr>
          <w:vertAlign w:val="superscript"/>
        </w:rPr>
        <w:t>†</w:t>
      </w:r>
      <w:r w:rsidR="00D6236A" w:rsidRPr="007D2718">
        <w:t xml:space="preserve">, </w:t>
      </w:r>
      <w:r>
        <w:t>LBNL</w:t>
      </w:r>
      <w:r w:rsidR="00423885" w:rsidRPr="007D2718">
        <w:t xml:space="preserve">, </w:t>
      </w:r>
      <w:r>
        <w:t>Berkeley</w:t>
      </w:r>
      <w:r w:rsidR="0089317D" w:rsidRPr="007D2718">
        <w:t xml:space="preserve">, </w:t>
      </w:r>
      <w:r>
        <w:t>CA, USA</w:t>
      </w:r>
      <w:r w:rsidR="00D6236A" w:rsidRPr="007D2718">
        <w:t xml:space="preserve"> </w:t>
      </w:r>
      <w:r w:rsidR="00D6236A" w:rsidRPr="007D2718">
        <w:br/>
      </w:r>
      <w:r>
        <w:t xml:space="preserve">B.R.P. Gamage, T. Michalski, V.S. Morozov, R. Rajput-Ghoshal, M. Wiseman, </w:t>
      </w:r>
      <w:r w:rsidRPr="002238AE">
        <w:t>Jefferson Lab, New</w:t>
      </w:r>
      <w:r>
        <w:t>port News, VA,</w:t>
      </w:r>
      <w:r w:rsidRPr="002238AE">
        <w:t xml:space="preserve"> USA</w:t>
      </w:r>
      <w:r w:rsidR="006E765C" w:rsidRPr="007D2718">
        <w:br/>
      </w:r>
      <w:r>
        <w:t>Y. Nosochkov, M.</w:t>
      </w:r>
      <w:r w:rsidRPr="00131F3C">
        <w:t xml:space="preserve"> Sullivan, SLAC, Menlo Park, CA, USA</w:t>
      </w:r>
    </w:p>
    <w:p w:rsidR="00165665" w:rsidRPr="007D2718" w:rsidRDefault="00E62BCA" w:rsidP="00C66BC4">
      <w:pPr>
        <w:pStyle w:val="JAbstractTitle"/>
      </w:pPr>
      <w:r w:rsidRPr="007D2718">
        <w:t>Abstract</w:t>
      </w:r>
    </w:p>
    <w:p w:rsidR="00A6779B" w:rsidRDefault="00D71992" w:rsidP="0025549D">
      <w:pPr>
        <w:pStyle w:val="BodyTextIndent"/>
        <w:rPr>
          <w:rStyle w:val="JBodyTextIndentChar"/>
        </w:rPr>
      </w:pPr>
      <w:r>
        <w:rPr>
          <w:rStyle w:val="JBodyTextIndentChar"/>
        </w:rPr>
        <w:t>The JL</w:t>
      </w:r>
      <w:r w:rsidR="00131F3C" w:rsidRPr="00131F3C">
        <w:rPr>
          <w:rStyle w:val="JBodyTextIndentChar"/>
        </w:rPr>
        <w:t xml:space="preserve">EIC physics goals of high luminosity and a full acceptance detector result in significant design challenges for the Interaction Region quadrupoles. Key requirements include large aperture, high field, compact transverse and longitudinal dimensions, and tight control of the field </w:t>
      </w:r>
      <w:r w:rsidR="00754E41">
        <w:rPr>
          <w:rStyle w:val="JBodyTextIndentChar"/>
        </w:rPr>
        <w:t>errors</w:t>
      </w:r>
      <w:r w:rsidR="00131F3C" w:rsidRPr="00131F3C">
        <w:rPr>
          <w:rStyle w:val="JBodyTextIndentChar"/>
        </w:rPr>
        <w:t xml:space="preserve">. In this paper, </w:t>
      </w:r>
      <w:r w:rsidR="00BF0E28">
        <w:rPr>
          <w:rStyle w:val="JBodyTextIndentChar"/>
        </w:rPr>
        <w:t xml:space="preserve">we present and discuss </w:t>
      </w:r>
      <w:r w:rsidR="00131F3C" w:rsidRPr="00131F3C">
        <w:rPr>
          <w:rStyle w:val="JBodyTextIndentChar"/>
        </w:rPr>
        <w:t xml:space="preserve">field quality estimates for the IR Quadrupoles of </w:t>
      </w:r>
      <w:r w:rsidR="00BF0E28">
        <w:rPr>
          <w:rStyle w:val="JBodyTextIndentChar"/>
        </w:rPr>
        <w:t xml:space="preserve">both </w:t>
      </w:r>
      <w:r w:rsidR="00131F3C" w:rsidRPr="00131F3C">
        <w:rPr>
          <w:rStyle w:val="JBodyTextIndentChar"/>
        </w:rPr>
        <w:t>electron and ion beamlines</w:t>
      </w:r>
      <w:r w:rsidR="00BF0E28">
        <w:rPr>
          <w:rStyle w:val="JBodyTextIndentChar"/>
        </w:rPr>
        <w:t>,</w:t>
      </w:r>
      <w:r w:rsidR="00131F3C" w:rsidRPr="00131F3C">
        <w:rPr>
          <w:rStyle w:val="JBodyTextIndentChar"/>
        </w:rPr>
        <w:t xml:space="preserve"> </w:t>
      </w:r>
      <w:r w:rsidR="00BF0E28">
        <w:rPr>
          <w:rStyle w:val="JBodyTextIndentChar"/>
        </w:rPr>
        <w:t>obtained by integrating experience from previous proj</w:t>
      </w:r>
      <w:r w:rsidR="00BE57D0">
        <w:rPr>
          <w:rStyle w:val="JBodyTextIndentChar"/>
        </w:rPr>
        <w:t xml:space="preserve">ects with realistic designs </w:t>
      </w:r>
      <w:r w:rsidR="00D81CF6">
        <w:rPr>
          <w:rStyle w:val="JBodyTextIndentChar"/>
        </w:rPr>
        <w:t xml:space="preserve">consistent with </w:t>
      </w:r>
      <w:r w:rsidR="00BF0E28">
        <w:rPr>
          <w:rStyle w:val="JBodyTextIndentChar"/>
        </w:rPr>
        <w:t xml:space="preserve">the </w:t>
      </w:r>
      <w:r w:rsidR="00D81CF6">
        <w:rPr>
          <w:rStyle w:val="JBodyTextIndentChar"/>
        </w:rPr>
        <w:t xml:space="preserve">specific </w:t>
      </w:r>
      <w:r w:rsidR="00BF0E28">
        <w:rPr>
          <w:rStyle w:val="JBodyTextIndentChar"/>
        </w:rPr>
        <w:t xml:space="preserve">requirements </w:t>
      </w:r>
      <w:r w:rsidR="00BE57D0">
        <w:rPr>
          <w:rStyle w:val="JBodyTextIndentChar"/>
        </w:rPr>
        <w:t>of</w:t>
      </w:r>
      <w:r w:rsidR="00BF0E28">
        <w:rPr>
          <w:rStyle w:val="JBodyTextIndentChar"/>
        </w:rPr>
        <w:t xml:space="preserve"> the JLEIC collider.</w:t>
      </w:r>
    </w:p>
    <w:p w:rsidR="00165665" w:rsidRPr="007D2718" w:rsidRDefault="00A6779B" w:rsidP="00103192">
      <w:pPr>
        <w:pStyle w:val="JSectionHeading"/>
        <w:rPr>
          <w:rFonts w:cs="Times New Roman"/>
        </w:rPr>
      </w:pPr>
      <w:r>
        <w:rPr>
          <w:rFonts w:cs="Times New Roman"/>
        </w:rPr>
        <w:t>INTRODUCTION</w:t>
      </w:r>
    </w:p>
    <w:p w:rsidR="003F4036" w:rsidRDefault="00EF771A" w:rsidP="00AC2E83">
      <w:pPr>
        <w:pStyle w:val="BodyTextIndent"/>
        <w:rPr>
          <w:kern w:val="16"/>
        </w:rPr>
      </w:pPr>
      <w:r w:rsidRPr="00324C57">
        <w:rPr>
          <w:kern w:val="16"/>
        </w:rPr>
        <w:t xml:space="preserve">The Jefferson Lab Electron-Ion Collider (JLEIC) is </w:t>
      </w:r>
      <w:r w:rsidR="00324C57">
        <w:rPr>
          <w:kern w:val="16"/>
        </w:rPr>
        <w:t xml:space="preserve">a proposed next-generation </w:t>
      </w:r>
      <w:r w:rsidR="00E813CC" w:rsidRPr="00324C57">
        <w:rPr>
          <w:kern w:val="16"/>
        </w:rPr>
        <w:t xml:space="preserve">facility </w:t>
      </w:r>
      <w:r w:rsidR="00932B55">
        <w:rPr>
          <w:kern w:val="16"/>
        </w:rPr>
        <w:t>addressing the goals of</w:t>
      </w:r>
      <w:r w:rsidR="00B91A5C" w:rsidRPr="00324C57">
        <w:rPr>
          <w:kern w:val="16"/>
        </w:rPr>
        <w:t xml:space="preserve"> the U.S. Nuclear Physics </w:t>
      </w:r>
      <w:r w:rsidR="00EF5240">
        <w:rPr>
          <w:kern w:val="16"/>
        </w:rPr>
        <w:t>program</w:t>
      </w:r>
      <w:r w:rsidR="00B65F09">
        <w:rPr>
          <w:kern w:val="16"/>
        </w:rPr>
        <w:t>:</w:t>
      </w:r>
      <w:r w:rsidR="00324C57">
        <w:rPr>
          <w:kern w:val="16"/>
        </w:rPr>
        <w:t xml:space="preserve"> </w:t>
      </w:r>
      <w:r w:rsidR="00B65F09">
        <w:rPr>
          <w:kern w:val="16"/>
        </w:rPr>
        <w:t xml:space="preserve">CM </w:t>
      </w:r>
      <w:r w:rsidR="00324C57">
        <w:rPr>
          <w:kern w:val="16"/>
        </w:rPr>
        <w:t>ener</w:t>
      </w:r>
      <w:r w:rsidR="00B66BEA">
        <w:rPr>
          <w:kern w:val="16"/>
        </w:rPr>
        <w:t xml:space="preserve">gy of 20 to </w:t>
      </w:r>
      <w:r w:rsidR="00324C57">
        <w:rPr>
          <w:kern w:val="16"/>
        </w:rPr>
        <w:t>100 GeV</w:t>
      </w:r>
      <w:r w:rsidR="00EC7805">
        <w:rPr>
          <w:kern w:val="16"/>
        </w:rPr>
        <w:t xml:space="preserve"> </w:t>
      </w:r>
      <w:r w:rsidR="00B65F09">
        <w:rPr>
          <w:kern w:val="16"/>
        </w:rPr>
        <w:t xml:space="preserve">(upgradable to 140 GeV); </w:t>
      </w:r>
      <w:r w:rsidR="00EC7805">
        <w:rPr>
          <w:kern w:val="16"/>
        </w:rPr>
        <w:t xml:space="preserve">luminosity of </w:t>
      </w:r>
      <w:r w:rsidR="00EC7805" w:rsidRPr="00EC7805">
        <w:rPr>
          <w:kern w:val="16"/>
        </w:rPr>
        <w:t>10</w:t>
      </w:r>
      <w:r w:rsidR="00EC7805" w:rsidRPr="001A33D8">
        <w:rPr>
          <w:kern w:val="16"/>
          <w:vertAlign w:val="superscript"/>
        </w:rPr>
        <w:t>33</w:t>
      </w:r>
      <w:r w:rsidR="00714AA4">
        <w:rPr>
          <w:kern w:val="16"/>
        </w:rPr>
        <w:t xml:space="preserve"> to </w:t>
      </w:r>
      <w:r w:rsidR="00EC7805" w:rsidRPr="00EC7805">
        <w:rPr>
          <w:kern w:val="16"/>
        </w:rPr>
        <w:t>10</w:t>
      </w:r>
      <w:r w:rsidR="00EC7805" w:rsidRPr="001A33D8">
        <w:rPr>
          <w:kern w:val="16"/>
          <w:vertAlign w:val="superscript"/>
        </w:rPr>
        <w:t>34</w:t>
      </w:r>
      <w:r w:rsidR="00EC7805" w:rsidRPr="00EC7805">
        <w:rPr>
          <w:kern w:val="16"/>
        </w:rPr>
        <w:t xml:space="preserve"> cm</w:t>
      </w:r>
      <w:r w:rsidR="00EC7805" w:rsidRPr="001A33D8">
        <w:rPr>
          <w:kern w:val="16"/>
          <w:vertAlign w:val="superscript"/>
        </w:rPr>
        <w:t>-2</w:t>
      </w:r>
      <w:r w:rsidR="00EC7805" w:rsidRPr="00EC7805">
        <w:rPr>
          <w:kern w:val="16"/>
        </w:rPr>
        <w:t>s</w:t>
      </w:r>
      <w:r w:rsidR="00EC7805" w:rsidRPr="001A33D8">
        <w:rPr>
          <w:kern w:val="16"/>
          <w:vertAlign w:val="superscript"/>
        </w:rPr>
        <w:t>-1</w:t>
      </w:r>
      <w:r w:rsidR="00932B55">
        <w:rPr>
          <w:kern w:val="16"/>
        </w:rPr>
        <w:t xml:space="preserve"> over the full energy range;</w:t>
      </w:r>
      <w:r w:rsidR="00B65F09">
        <w:rPr>
          <w:kern w:val="16"/>
        </w:rPr>
        <w:t xml:space="preserve"> </w:t>
      </w:r>
      <w:r w:rsidR="00EF5240">
        <w:rPr>
          <w:kern w:val="16"/>
        </w:rPr>
        <w:t xml:space="preserve">beam polarization </w:t>
      </w:r>
      <w:r w:rsidR="001361CB">
        <w:rPr>
          <w:kern w:val="16"/>
        </w:rPr>
        <w:t xml:space="preserve">above </w:t>
      </w:r>
      <w:r w:rsidR="00EF5240">
        <w:rPr>
          <w:kern w:val="16"/>
        </w:rPr>
        <w:t>70%</w:t>
      </w:r>
      <w:r w:rsidR="00B65F09">
        <w:rPr>
          <w:kern w:val="16"/>
        </w:rPr>
        <w:t>; and a full acceptance detector</w:t>
      </w:r>
      <w:r w:rsidR="00AC2E83">
        <w:rPr>
          <w:kern w:val="16"/>
        </w:rPr>
        <w:t xml:space="preserve"> [1-</w:t>
      </w:r>
      <w:r w:rsidR="00AC2E83" w:rsidRPr="00AC2E83">
        <w:rPr>
          <w:kern w:val="16"/>
        </w:rPr>
        <w:t>4</w:t>
      </w:r>
      <w:r w:rsidR="00AC2E83" w:rsidRPr="00932B55">
        <w:rPr>
          <w:kern w:val="16"/>
        </w:rPr>
        <w:t>]</w:t>
      </w:r>
      <w:r w:rsidR="00B65F09" w:rsidRPr="001361CB">
        <w:rPr>
          <w:kern w:val="16"/>
        </w:rPr>
        <w:t>.</w:t>
      </w:r>
      <w:r w:rsidR="00B65F09">
        <w:rPr>
          <w:kern w:val="16"/>
        </w:rPr>
        <w:t xml:space="preserve"> </w:t>
      </w:r>
    </w:p>
    <w:p w:rsidR="00BC1256" w:rsidRDefault="00B65F09" w:rsidP="00AC2E83">
      <w:pPr>
        <w:pStyle w:val="BodyTextIndent"/>
        <w:rPr>
          <w:kern w:val="16"/>
        </w:rPr>
      </w:pPr>
      <w:r>
        <w:rPr>
          <w:kern w:val="16"/>
        </w:rPr>
        <w:t xml:space="preserve">The JLEIC design </w:t>
      </w:r>
      <w:r w:rsidR="00EF5240" w:rsidRPr="001A33D8">
        <w:rPr>
          <w:kern w:val="16"/>
        </w:rPr>
        <w:t>[</w:t>
      </w:r>
      <w:r w:rsidR="00EF5240">
        <w:rPr>
          <w:kern w:val="16"/>
        </w:rPr>
        <w:t>5</w:t>
      </w:r>
      <w:r w:rsidR="00EF5240" w:rsidRPr="001A33D8">
        <w:rPr>
          <w:kern w:val="16"/>
        </w:rPr>
        <w:t>-</w:t>
      </w:r>
      <w:r w:rsidR="00AC2E83">
        <w:rPr>
          <w:kern w:val="16"/>
        </w:rPr>
        <w:t>6</w:t>
      </w:r>
      <w:r w:rsidR="00EF5240" w:rsidRPr="001A33D8">
        <w:rPr>
          <w:kern w:val="16"/>
        </w:rPr>
        <w:t>]</w:t>
      </w:r>
      <w:r w:rsidR="00EF5240">
        <w:rPr>
          <w:kern w:val="16"/>
        </w:rPr>
        <w:t xml:space="preserve"> </w:t>
      </w:r>
      <w:r>
        <w:rPr>
          <w:kern w:val="16"/>
        </w:rPr>
        <w:t xml:space="preserve">is based on </w:t>
      </w:r>
      <w:r w:rsidR="002B5B31" w:rsidRPr="001A33D8">
        <w:rPr>
          <w:kern w:val="16"/>
        </w:rPr>
        <w:t>two vertically</w:t>
      </w:r>
      <w:r w:rsidR="00EC7805" w:rsidRPr="001A33D8">
        <w:rPr>
          <w:kern w:val="16"/>
        </w:rPr>
        <w:t xml:space="preserve">-stacked </w:t>
      </w:r>
      <w:r w:rsidR="002341B9">
        <w:rPr>
          <w:kern w:val="16"/>
        </w:rPr>
        <w:t xml:space="preserve">collider </w:t>
      </w:r>
      <w:r w:rsidR="00EC7805" w:rsidRPr="001A33D8">
        <w:rPr>
          <w:kern w:val="16"/>
        </w:rPr>
        <w:t>rings with a circumference of 2.3 km and an innovative figure-8 layout</w:t>
      </w:r>
      <w:r w:rsidR="00EF5240">
        <w:rPr>
          <w:kern w:val="16"/>
        </w:rPr>
        <w:t xml:space="preserve"> </w:t>
      </w:r>
      <w:r w:rsidR="00EE3541">
        <w:rPr>
          <w:kern w:val="16"/>
        </w:rPr>
        <w:t>which helps</w:t>
      </w:r>
      <w:r w:rsidR="00BC69E4">
        <w:rPr>
          <w:kern w:val="16"/>
        </w:rPr>
        <w:t xml:space="preserve"> </w:t>
      </w:r>
      <w:r w:rsidR="00EE3541">
        <w:rPr>
          <w:kern w:val="16"/>
        </w:rPr>
        <w:t>preserving</w:t>
      </w:r>
      <w:r w:rsidR="00BC69E4">
        <w:rPr>
          <w:kern w:val="16"/>
        </w:rPr>
        <w:t xml:space="preserve"> </w:t>
      </w:r>
      <w:r w:rsidR="00E216C2">
        <w:rPr>
          <w:kern w:val="16"/>
        </w:rPr>
        <w:t xml:space="preserve">spin </w:t>
      </w:r>
      <w:r w:rsidR="00EF5240">
        <w:rPr>
          <w:kern w:val="16"/>
        </w:rPr>
        <w:t>polarization</w:t>
      </w:r>
      <w:r w:rsidR="001A33D8" w:rsidRPr="001A33D8">
        <w:rPr>
          <w:kern w:val="16"/>
        </w:rPr>
        <w:t>.</w:t>
      </w:r>
      <w:r>
        <w:rPr>
          <w:kern w:val="16"/>
        </w:rPr>
        <w:t xml:space="preserve"> </w:t>
      </w:r>
      <w:r w:rsidR="002341B9">
        <w:rPr>
          <w:kern w:val="16"/>
        </w:rPr>
        <w:t xml:space="preserve">Collision energies are in the range of </w:t>
      </w:r>
      <w:r w:rsidR="002341B9" w:rsidRPr="002341B9">
        <w:rPr>
          <w:kern w:val="16"/>
        </w:rPr>
        <w:t xml:space="preserve">3 to 12 GeV </w:t>
      </w:r>
      <w:r w:rsidR="002341B9">
        <w:rPr>
          <w:kern w:val="16"/>
        </w:rPr>
        <w:t xml:space="preserve">for electrons and </w:t>
      </w:r>
      <w:r w:rsidR="002341B9" w:rsidRPr="002341B9">
        <w:rPr>
          <w:kern w:val="16"/>
        </w:rPr>
        <w:t>30 to 200 GeV</w:t>
      </w:r>
      <w:r w:rsidR="002341B9">
        <w:rPr>
          <w:kern w:val="16"/>
        </w:rPr>
        <w:t xml:space="preserve"> for </w:t>
      </w:r>
      <w:r w:rsidR="002341B9" w:rsidRPr="002341B9">
        <w:rPr>
          <w:kern w:val="16"/>
        </w:rPr>
        <w:t>protons.</w:t>
      </w:r>
      <w:r w:rsidR="002341B9">
        <w:rPr>
          <w:kern w:val="16"/>
        </w:rPr>
        <w:t xml:space="preserve"> </w:t>
      </w:r>
      <w:r w:rsidR="00EE3541">
        <w:rPr>
          <w:kern w:val="16"/>
        </w:rPr>
        <w:t>The electron beam energy is l</w:t>
      </w:r>
      <w:r w:rsidR="00C643B9">
        <w:rPr>
          <w:kern w:val="16"/>
        </w:rPr>
        <w:t>imited by synchrotron radiation</w:t>
      </w:r>
      <w:r w:rsidR="00E216C2">
        <w:rPr>
          <w:kern w:val="16"/>
        </w:rPr>
        <w:t>,</w:t>
      </w:r>
      <w:r w:rsidR="00EE3541">
        <w:rPr>
          <w:kern w:val="16"/>
        </w:rPr>
        <w:t xml:space="preserve"> and the resulting asymmetry causes </w:t>
      </w:r>
      <w:r w:rsidR="00BA08F8">
        <w:rPr>
          <w:kern w:val="16"/>
        </w:rPr>
        <w:t xml:space="preserve">a significant fraction of the collision products </w:t>
      </w:r>
      <w:r w:rsidR="009141BC" w:rsidRPr="009141BC">
        <w:rPr>
          <w:kern w:val="16"/>
        </w:rPr>
        <w:t>to be nearly collinear with the ion</w:t>
      </w:r>
      <w:r w:rsidR="009141BC">
        <w:rPr>
          <w:kern w:val="16"/>
        </w:rPr>
        <w:t xml:space="preserve"> beam </w:t>
      </w:r>
      <w:r w:rsidR="009141BC" w:rsidRPr="009141BC">
        <w:rPr>
          <w:kern w:val="16"/>
        </w:rPr>
        <w:t>direction</w:t>
      </w:r>
      <w:r w:rsidR="00BC1256">
        <w:rPr>
          <w:kern w:val="16"/>
        </w:rPr>
        <w:t xml:space="preserve">. </w:t>
      </w:r>
      <w:r w:rsidRPr="00824439">
        <w:rPr>
          <w:kern w:val="16"/>
        </w:rPr>
        <w:t xml:space="preserve">A 50 mrad crossing angle </w:t>
      </w:r>
      <w:r w:rsidR="00714AA4">
        <w:rPr>
          <w:kern w:val="16"/>
        </w:rPr>
        <w:t>is used to</w:t>
      </w:r>
      <w:r w:rsidR="00C15877" w:rsidRPr="00C15877">
        <w:rPr>
          <w:kern w:val="16"/>
        </w:rPr>
        <w:t xml:space="preserve"> separat</w:t>
      </w:r>
      <w:r w:rsidR="00714AA4">
        <w:rPr>
          <w:kern w:val="16"/>
        </w:rPr>
        <w:t>e</w:t>
      </w:r>
      <w:r w:rsidR="00BC1256">
        <w:rPr>
          <w:kern w:val="16"/>
        </w:rPr>
        <w:t xml:space="preserve"> these </w:t>
      </w:r>
      <w:r w:rsidR="00BA08F8">
        <w:rPr>
          <w:kern w:val="16"/>
        </w:rPr>
        <w:t>particles</w:t>
      </w:r>
      <w:r w:rsidR="00C643B9">
        <w:rPr>
          <w:kern w:val="16"/>
        </w:rPr>
        <w:t xml:space="preserve"> from the </w:t>
      </w:r>
      <w:r w:rsidR="00C15877" w:rsidRPr="00C15877">
        <w:rPr>
          <w:kern w:val="16"/>
        </w:rPr>
        <w:t>ele</w:t>
      </w:r>
      <w:r w:rsidR="00714AA4">
        <w:rPr>
          <w:kern w:val="16"/>
        </w:rPr>
        <w:t>ctron beam</w:t>
      </w:r>
      <w:r w:rsidR="00C15877">
        <w:rPr>
          <w:kern w:val="16"/>
        </w:rPr>
        <w:t xml:space="preserve"> </w:t>
      </w:r>
      <w:r w:rsidR="00824439" w:rsidRPr="00824439">
        <w:rPr>
          <w:kern w:val="16"/>
        </w:rPr>
        <w:t>and</w:t>
      </w:r>
      <w:r w:rsidRPr="00824439">
        <w:rPr>
          <w:kern w:val="16"/>
        </w:rPr>
        <w:t xml:space="preserve"> pro</w:t>
      </w:r>
      <w:r w:rsidR="00C643B9">
        <w:rPr>
          <w:kern w:val="16"/>
        </w:rPr>
        <w:t>vid</w:t>
      </w:r>
      <w:r w:rsidR="00714AA4">
        <w:rPr>
          <w:kern w:val="16"/>
        </w:rPr>
        <w:t>e</w:t>
      </w:r>
      <w:r w:rsidRPr="00824439">
        <w:rPr>
          <w:kern w:val="16"/>
        </w:rPr>
        <w:t xml:space="preserve"> </w:t>
      </w:r>
      <w:r w:rsidR="00824439" w:rsidRPr="00824439">
        <w:rPr>
          <w:kern w:val="16"/>
        </w:rPr>
        <w:t xml:space="preserve">transverse </w:t>
      </w:r>
      <w:r w:rsidR="00C15877">
        <w:rPr>
          <w:kern w:val="16"/>
        </w:rPr>
        <w:t xml:space="preserve">space for </w:t>
      </w:r>
      <w:r w:rsidR="00192C43">
        <w:rPr>
          <w:kern w:val="16"/>
        </w:rPr>
        <w:t>accelerator components</w:t>
      </w:r>
      <w:r w:rsidR="00714AA4">
        <w:rPr>
          <w:kern w:val="16"/>
        </w:rPr>
        <w:t xml:space="preserve"> [7]</w:t>
      </w:r>
      <w:r w:rsidR="00C643B9">
        <w:rPr>
          <w:kern w:val="16"/>
        </w:rPr>
        <w:t>.</w:t>
      </w:r>
    </w:p>
    <w:p w:rsidR="00141AE7" w:rsidRDefault="00C643B9" w:rsidP="006556B6">
      <w:pPr>
        <w:pStyle w:val="BodyTextIndent"/>
        <w:rPr>
          <w:noProof/>
          <w:szCs w:val="24"/>
          <w:lang w:val="en-US"/>
        </w:rPr>
      </w:pPr>
      <w:r>
        <w:rPr>
          <w:rStyle w:val="JBodyTextIndentChar"/>
        </w:rPr>
        <w:lastRenderedPageBreak/>
        <w:t>Due to large beam size</w:t>
      </w:r>
      <w:r w:rsidR="00E216C2">
        <w:rPr>
          <w:rStyle w:val="JBodyTextIndentChar"/>
        </w:rPr>
        <w:t xml:space="preserve"> </w:t>
      </w:r>
      <w:r w:rsidR="00D8126E" w:rsidRPr="00131F3C">
        <w:rPr>
          <w:rStyle w:val="JBodyTextIndentChar"/>
        </w:rPr>
        <w:t>in the I</w:t>
      </w:r>
      <w:r w:rsidR="003F4036">
        <w:rPr>
          <w:rStyle w:val="JBodyTextIndentChar"/>
        </w:rPr>
        <w:t xml:space="preserve">nteraction </w:t>
      </w:r>
      <w:r w:rsidR="00D8126E" w:rsidRPr="00131F3C">
        <w:rPr>
          <w:rStyle w:val="JBodyTextIndentChar"/>
        </w:rPr>
        <w:t>R</w:t>
      </w:r>
      <w:r w:rsidR="003F4036">
        <w:rPr>
          <w:rStyle w:val="JBodyTextIndentChar"/>
        </w:rPr>
        <w:t xml:space="preserve">egion </w:t>
      </w:r>
      <w:r w:rsidR="008C174B">
        <w:rPr>
          <w:rStyle w:val="JBodyTextIndentChar"/>
        </w:rPr>
        <w:t xml:space="preserve">(IR) </w:t>
      </w:r>
      <w:r w:rsidR="00D8126E" w:rsidRPr="00131F3C">
        <w:rPr>
          <w:rStyle w:val="JBodyTextIndentChar"/>
        </w:rPr>
        <w:t>Quadrupoles</w:t>
      </w:r>
      <w:r w:rsidR="00141AE7">
        <w:rPr>
          <w:rStyle w:val="JBodyTextIndentChar"/>
        </w:rPr>
        <w:t>,</w:t>
      </w:r>
      <w:r>
        <w:rPr>
          <w:rStyle w:val="JBodyTextIndentChar"/>
        </w:rPr>
        <w:t xml:space="preserve"> </w:t>
      </w:r>
      <w:r w:rsidR="00703DC2">
        <w:rPr>
          <w:rStyle w:val="JBodyTextIndentChar"/>
        </w:rPr>
        <w:t xml:space="preserve">their field </w:t>
      </w:r>
      <w:r w:rsidR="00141AE7">
        <w:rPr>
          <w:rStyle w:val="JBodyTextIndentChar"/>
        </w:rPr>
        <w:t>quality has</w:t>
      </w:r>
      <w:r w:rsidR="00D8126E" w:rsidRPr="00131F3C">
        <w:rPr>
          <w:rStyle w:val="JBodyTextIndentChar"/>
        </w:rPr>
        <w:t xml:space="preserve"> dominant ef</w:t>
      </w:r>
      <w:r w:rsidR="006556B6">
        <w:rPr>
          <w:rStyle w:val="JBodyTextIndentChar"/>
        </w:rPr>
        <w:t xml:space="preserve">fect </w:t>
      </w:r>
      <w:r w:rsidR="00141AE7">
        <w:rPr>
          <w:rStyle w:val="JBodyTextIndentChar"/>
        </w:rPr>
        <w:t>on</w:t>
      </w:r>
      <w:r w:rsidR="00D8126E" w:rsidRPr="00131F3C">
        <w:rPr>
          <w:rStyle w:val="JBodyTextIndentChar"/>
        </w:rPr>
        <w:t xml:space="preserve"> the collider dynamic aperture</w:t>
      </w:r>
      <w:r w:rsidR="00141AE7">
        <w:rPr>
          <w:rStyle w:val="JBodyTextIndentChar"/>
        </w:rPr>
        <w:t xml:space="preserve"> </w:t>
      </w:r>
      <w:r w:rsidR="00263D72">
        <w:rPr>
          <w:rStyle w:val="JBodyTextIndentChar"/>
        </w:rPr>
        <w:t xml:space="preserve">(DA) </w:t>
      </w:r>
      <w:r w:rsidR="00141AE7">
        <w:rPr>
          <w:rStyle w:val="JBodyTextIndentChar"/>
        </w:rPr>
        <w:t>and needs to be carefully evaluated</w:t>
      </w:r>
      <w:r>
        <w:rPr>
          <w:rStyle w:val="JBodyTextIndentChar"/>
        </w:rPr>
        <w:t xml:space="preserve"> [8-9]</w:t>
      </w:r>
      <w:r w:rsidR="00D8126E" w:rsidRPr="00131F3C">
        <w:rPr>
          <w:rStyle w:val="JBodyTextIndentChar"/>
        </w:rPr>
        <w:t xml:space="preserve">. </w:t>
      </w:r>
      <w:r w:rsidR="00141AE7">
        <w:rPr>
          <w:rStyle w:val="JBodyTextIndentChar"/>
        </w:rPr>
        <w:t>The results of these studies</w:t>
      </w:r>
      <w:r w:rsidR="00D8126E" w:rsidRPr="00131F3C">
        <w:rPr>
          <w:rStyle w:val="JBodyTextIndentChar"/>
        </w:rPr>
        <w:t xml:space="preserve"> </w:t>
      </w:r>
      <w:r w:rsidR="00CD4174">
        <w:rPr>
          <w:rStyle w:val="JBodyTextIndentChar"/>
        </w:rPr>
        <w:t xml:space="preserve">will </w:t>
      </w:r>
      <w:r w:rsidR="00141AE7">
        <w:rPr>
          <w:rStyle w:val="JBodyTextIndentChar"/>
        </w:rPr>
        <w:t>gener</w:t>
      </w:r>
      <w:r w:rsidR="008C174B">
        <w:rPr>
          <w:rStyle w:val="JBodyTextIndentChar"/>
        </w:rPr>
        <w:t>ate</w:t>
      </w:r>
      <w:r w:rsidR="00141AE7">
        <w:rPr>
          <w:rStyle w:val="JBodyTextIndentChar"/>
        </w:rPr>
        <w:t xml:space="preserve"> updated </w:t>
      </w:r>
      <w:r w:rsidR="00D8126E" w:rsidRPr="00131F3C">
        <w:rPr>
          <w:rStyle w:val="JBodyTextIndentChar"/>
        </w:rPr>
        <w:t xml:space="preserve">magnet requirements </w:t>
      </w:r>
      <w:r w:rsidR="00CD4174">
        <w:rPr>
          <w:rStyle w:val="JBodyTextIndentChar"/>
        </w:rPr>
        <w:t>to</w:t>
      </w:r>
      <w:r w:rsidR="00D8126E" w:rsidRPr="00131F3C">
        <w:rPr>
          <w:rStyle w:val="JBodyTextIndentChar"/>
        </w:rPr>
        <w:t xml:space="preserve"> be incorporated in future design iterations.</w:t>
      </w:r>
      <w:r w:rsidR="0048371A" w:rsidRPr="0048371A">
        <w:rPr>
          <w:noProof/>
          <w:szCs w:val="24"/>
          <w:lang w:val="en-US"/>
        </w:rPr>
        <w:t xml:space="preserve"> </w:t>
      </w:r>
    </w:p>
    <w:p w:rsidR="00141AE7" w:rsidRPr="00141AE7" w:rsidRDefault="00141AE7" w:rsidP="00141AE7">
      <w:pPr>
        <w:pStyle w:val="JSectionHeading"/>
        <w:rPr>
          <w:rFonts w:cs="Times New Roman"/>
        </w:rPr>
      </w:pPr>
      <w:r>
        <w:rPr>
          <w:rFonts w:cs="Times New Roman"/>
        </w:rPr>
        <w:t>MAGNET REQUIREMENTS AND DESIGN</w:t>
      </w:r>
    </w:p>
    <w:p w:rsidR="00141AE7" w:rsidRDefault="00141AE7" w:rsidP="00141AE7">
      <w:pPr>
        <w:pStyle w:val="BodyTextIndent"/>
        <w:rPr>
          <w:color w:val="000000" w:themeColor="text1"/>
          <w:kern w:val="16"/>
        </w:rPr>
      </w:pPr>
      <w:r w:rsidRPr="00141AE7">
        <w:rPr>
          <w:color w:val="000000" w:themeColor="text1"/>
          <w:kern w:val="16"/>
        </w:rPr>
        <w:t xml:space="preserve">The </w:t>
      </w:r>
      <w:r w:rsidR="001D05AA">
        <w:rPr>
          <w:color w:val="000000" w:themeColor="text1"/>
          <w:kern w:val="16"/>
        </w:rPr>
        <w:t>JL</w:t>
      </w:r>
      <w:r w:rsidRPr="00141AE7">
        <w:rPr>
          <w:color w:val="000000" w:themeColor="text1"/>
          <w:kern w:val="16"/>
        </w:rPr>
        <w:t xml:space="preserve">EIC IR quadrupoles must incorporate a combination of challenging features to address both experimental and </w:t>
      </w:r>
      <w:r w:rsidR="00263D72">
        <w:rPr>
          <w:color w:val="000000" w:themeColor="text1"/>
          <w:kern w:val="16"/>
        </w:rPr>
        <w:t>accelerator</w:t>
      </w:r>
      <w:r w:rsidRPr="00141AE7">
        <w:rPr>
          <w:color w:val="000000" w:themeColor="text1"/>
          <w:kern w:val="16"/>
        </w:rPr>
        <w:t xml:space="preserve"> physics requirements:</w:t>
      </w:r>
      <w:r>
        <w:rPr>
          <w:color w:val="000000" w:themeColor="text1"/>
          <w:kern w:val="16"/>
        </w:rPr>
        <w:t xml:space="preserve"> </w:t>
      </w:r>
    </w:p>
    <w:p w:rsidR="008C174B" w:rsidRDefault="00141AE7" w:rsidP="008C174B">
      <w:pPr>
        <w:pStyle w:val="BodyTextIndent"/>
        <w:numPr>
          <w:ilvl w:val="0"/>
          <w:numId w:val="22"/>
        </w:numPr>
        <w:rPr>
          <w:color w:val="000000" w:themeColor="text1"/>
          <w:kern w:val="16"/>
        </w:rPr>
      </w:pPr>
      <w:r>
        <w:rPr>
          <w:color w:val="000000" w:themeColor="text1"/>
          <w:kern w:val="16"/>
        </w:rPr>
        <w:t>Large bore to accommodate the beam op</w:t>
      </w:r>
      <w:r w:rsidR="008C174B">
        <w:rPr>
          <w:color w:val="000000" w:themeColor="text1"/>
          <w:kern w:val="16"/>
        </w:rPr>
        <w:t>tics and</w:t>
      </w:r>
      <w:r>
        <w:rPr>
          <w:color w:val="000000" w:themeColor="text1"/>
          <w:kern w:val="16"/>
        </w:rPr>
        <w:t xml:space="preserve"> provide the required</w:t>
      </w:r>
      <w:r w:rsidRPr="00A81427">
        <w:rPr>
          <w:color w:val="000000" w:themeColor="text1"/>
          <w:kern w:val="16"/>
        </w:rPr>
        <w:t xml:space="preserve"> </w:t>
      </w:r>
      <w:r>
        <w:rPr>
          <w:color w:val="000000" w:themeColor="text1"/>
          <w:kern w:val="16"/>
        </w:rPr>
        <w:t>acceptance</w:t>
      </w:r>
      <w:r w:rsidR="00263D72">
        <w:rPr>
          <w:color w:val="000000" w:themeColor="text1"/>
          <w:kern w:val="16"/>
        </w:rPr>
        <w:t>;</w:t>
      </w:r>
      <w:r>
        <w:rPr>
          <w:color w:val="000000" w:themeColor="text1"/>
          <w:kern w:val="16"/>
        </w:rPr>
        <w:t xml:space="preserve"> </w:t>
      </w:r>
    </w:p>
    <w:p w:rsidR="00D8126E" w:rsidRPr="008C174B" w:rsidRDefault="008C174B" w:rsidP="008C174B">
      <w:pPr>
        <w:pStyle w:val="BodyTextIndent"/>
        <w:numPr>
          <w:ilvl w:val="0"/>
          <w:numId w:val="22"/>
        </w:numPr>
        <w:rPr>
          <w:color w:val="000000" w:themeColor="text1"/>
          <w:kern w:val="16"/>
        </w:rPr>
      </w:pPr>
      <w:r w:rsidRPr="008C174B">
        <w:rPr>
          <w:color w:val="000000" w:themeColor="text1"/>
          <w:kern w:val="16"/>
        </w:rPr>
        <w:t xml:space="preserve">Compact </w:t>
      </w:r>
      <w:r>
        <w:rPr>
          <w:color w:val="000000" w:themeColor="text1"/>
          <w:kern w:val="16"/>
        </w:rPr>
        <w:t>size with</w:t>
      </w:r>
      <w:r w:rsidRPr="008C174B">
        <w:rPr>
          <w:color w:val="000000" w:themeColor="text1"/>
          <w:kern w:val="16"/>
        </w:rPr>
        <w:t xml:space="preserve"> </w:t>
      </w:r>
      <w:r>
        <w:rPr>
          <w:color w:val="000000" w:themeColor="text1"/>
          <w:kern w:val="16"/>
        </w:rPr>
        <w:t>e</w:t>
      </w:r>
      <w:r w:rsidRPr="008C174B">
        <w:rPr>
          <w:color w:val="000000" w:themeColor="text1"/>
          <w:kern w:val="16"/>
        </w:rPr>
        <w:t>xcellent field quality in a broad operating range</w:t>
      </w:r>
      <w:r w:rsidR="00263D72">
        <w:rPr>
          <w:color w:val="000000" w:themeColor="text1"/>
          <w:kern w:val="16"/>
        </w:rPr>
        <w:t>,</w:t>
      </w:r>
      <w:r w:rsidRPr="008C174B">
        <w:rPr>
          <w:color w:val="000000" w:themeColor="text1"/>
          <w:kern w:val="16"/>
        </w:rPr>
        <w:t xml:space="preserve"> </w:t>
      </w:r>
      <w:r>
        <w:rPr>
          <w:color w:val="000000" w:themeColor="text1"/>
          <w:kern w:val="16"/>
        </w:rPr>
        <w:t xml:space="preserve">and </w:t>
      </w:r>
      <w:r w:rsidRPr="008C174B">
        <w:rPr>
          <w:color w:val="000000" w:themeColor="text1"/>
          <w:kern w:val="16"/>
        </w:rPr>
        <w:t xml:space="preserve">control of magnet fringe fields to minimize perturbations on </w:t>
      </w:r>
      <w:r w:rsidR="001D05AA">
        <w:rPr>
          <w:color w:val="000000" w:themeColor="text1"/>
          <w:kern w:val="16"/>
        </w:rPr>
        <w:t xml:space="preserve">the </w:t>
      </w:r>
      <w:r w:rsidRPr="008C174B">
        <w:rPr>
          <w:color w:val="000000" w:themeColor="text1"/>
          <w:kern w:val="16"/>
        </w:rPr>
        <w:t>adjacent beam.</w:t>
      </w:r>
      <w:r w:rsidR="0048371A" w:rsidRPr="00C30DE2">
        <w:rPr>
          <w:noProof/>
          <w:lang w:val="en-US"/>
        </w:rPr>
        <mc:AlternateContent>
          <mc:Choice Requires="wps">
            <w:drawing>
              <wp:anchor distT="0" distB="0" distL="114300" distR="114300" simplePos="0" relativeHeight="251661312" behindDoc="0" locked="1" layoutInCell="1" allowOverlap="0" wp14:anchorId="232821DD" wp14:editId="55A7E1A4">
                <wp:simplePos x="0" y="0"/>
                <wp:positionH relativeFrom="column">
                  <wp:posOffset>-17780</wp:posOffset>
                </wp:positionH>
                <wp:positionV relativeFrom="page">
                  <wp:posOffset>8900160</wp:posOffset>
                </wp:positionV>
                <wp:extent cx="2943860" cy="438785"/>
                <wp:effectExtent l="0" t="0" r="8890" b="18415"/>
                <wp:wrapTopAndBottom/>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0E8" w:rsidRDefault="004000E8" w:rsidP="0048371A">
                            <w:pPr>
                              <w:pStyle w:val="BodyTextIndent"/>
                              <w:tabs>
                                <w:tab w:val="left" w:leader="underscore" w:pos="1800"/>
                              </w:tabs>
                              <w:ind w:firstLine="0"/>
                              <w:rPr>
                                <w:kern w:val="16"/>
                                <w:sz w:val="8"/>
                              </w:rPr>
                            </w:pPr>
                            <w:r>
                              <w:rPr>
                                <w:kern w:val="16"/>
                                <w:sz w:val="8"/>
                              </w:rPr>
                              <w:tab/>
                            </w:r>
                          </w:p>
                          <w:p w:rsidR="004000E8" w:rsidRDefault="004000E8" w:rsidP="0048371A">
                            <w:pPr>
                              <w:pStyle w:val="FootnoteText"/>
                              <w:keepNext/>
                              <w:ind w:left="144" w:hanging="144"/>
                              <w:jc w:val="both"/>
                              <w:rPr>
                                <w:kern w:val="16"/>
                              </w:rPr>
                            </w:pPr>
                            <w:r w:rsidRPr="00F5281D">
                              <w:rPr>
                                <w:kern w:val="16"/>
                              </w:rPr>
                              <w:t>*</w:t>
                            </w:r>
                            <w:r>
                              <w:rPr>
                                <w:kern w:val="16"/>
                              </w:rPr>
                              <w:t xml:space="preserve"> Work supported by the U.S. DoE under </w:t>
                            </w:r>
                            <w:r w:rsidRPr="00C30DE2">
                              <w:rPr>
                                <w:kern w:val="16"/>
                              </w:rPr>
                              <w:t>Contracts No. DE-AC05-06OR23177,</w:t>
                            </w:r>
                            <w:r>
                              <w:rPr>
                                <w:kern w:val="16"/>
                              </w:rPr>
                              <w:t xml:space="preserve"> DE-AC02-76SF00515, and DEAC03-</w:t>
                            </w:r>
                            <w:r w:rsidRPr="00C30DE2">
                              <w:rPr>
                                <w:kern w:val="16"/>
                              </w:rPr>
                              <w:t>76SF00098.</w:t>
                            </w:r>
                          </w:p>
                          <w:p w:rsidR="004000E8" w:rsidRPr="00E56880" w:rsidRDefault="004000E8" w:rsidP="0048371A">
                            <w:pPr>
                              <w:pStyle w:val="FootnoteText"/>
                              <w:jc w:val="both"/>
                            </w:pPr>
                            <w:r>
                              <w:t>† GLSabbi@lbl.gov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821DD" id="_x0000_t202" coordsize="21600,21600" o:spt="202" path="m,l,21600r21600,l21600,xe">
                <v:stroke joinstyle="miter"/>
                <v:path gradientshapeok="t" o:connecttype="rect"/>
              </v:shapetype>
              <v:shape id="Text Box 38" o:spid="_x0000_s1026" type="#_x0000_t202" style="position:absolute;left:0;text-align:left;margin-left:-1.4pt;margin-top:700.8pt;width:231.8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dl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" o:allowoverlap="f" filled="f" stroked="f">
                <v:textbox inset="0,0,0,0">
                  <w:txbxContent>
                    <w:p w:rsidR="004000E8" w:rsidRDefault="004000E8" w:rsidP="0048371A">
                      <w:pPr>
                        <w:pStyle w:val="BodyTextIndent"/>
                        <w:tabs>
                          <w:tab w:val="left" w:leader="underscore" w:pos="1800"/>
                        </w:tabs>
                        <w:ind w:firstLine="0"/>
                        <w:rPr>
                          <w:kern w:val="16"/>
                          <w:sz w:val="8"/>
                        </w:rPr>
                      </w:pPr>
                      <w:r>
                        <w:rPr>
                          <w:kern w:val="16"/>
                          <w:sz w:val="8"/>
                        </w:rPr>
                        <w:tab/>
                      </w:r>
                    </w:p>
                    <w:p w:rsidR="004000E8" w:rsidRDefault="004000E8" w:rsidP="0048371A">
                      <w:pPr>
                        <w:pStyle w:val="FootnoteText"/>
                        <w:keepNext/>
                        <w:ind w:left="144" w:hanging="144"/>
                        <w:jc w:val="both"/>
                        <w:rPr>
                          <w:kern w:val="16"/>
                        </w:rPr>
                      </w:pPr>
                      <w:r w:rsidRPr="00F5281D">
                        <w:rPr>
                          <w:kern w:val="16"/>
                        </w:rPr>
                        <w:t>*</w:t>
                      </w:r>
                      <w:r>
                        <w:rPr>
                          <w:kern w:val="16"/>
                        </w:rPr>
                        <w:t xml:space="preserve"> Work supported by the U.S. DoE under </w:t>
                      </w:r>
                      <w:r w:rsidRPr="00C30DE2">
                        <w:rPr>
                          <w:kern w:val="16"/>
                        </w:rPr>
                        <w:t>Contracts No. DE-AC05-06OR23177,</w:t>
                      </w:r>
                      <w:r>
                        <w:rPr>
                          <w:kern w:val="16"/>
                        </w:rPr>
                        <w:t xml:space="preserve"> DE-AC02-76SF00515, and DEAC03-</w:t>
                      </w:r>
                      <w:r w:rsidRPr="00C30DE2">
                        <w:rPr>
                          <w:kern w:val="16"/>
                        </w:rPr>
                        <w:t>76SF00098.</w:t>
                      </w:r>
                    </w:p>
                    <w:p w:rsidR="004000E8" w:rsidRPr="00E56880" w:rsidRDefault="004000E8" w:rsidP="0048371A">
                      <w:pPr>
                        <w:pStyle w:val="FootnoteText"/>
                        <w:jc w:val="both"/>
                      </w:pPr>
                      <w:r>
                        <w:t>† GLSabbi@lbl.gov</w:t>
                      </w:r>
                    </w:p>
                  </w:txbxContent>
                </v:textbox>
                <w10:wrap type="topAndBottom" anchory="page"/>
                <w10:anchorlock/>
              </v:shape>
            </w:pict>
          </mc:Fallback>
        </mc:AlternateContent>
      </w:r>
    </w:p>
    <w:p w:rsidR="00A81427" w:rsidRPr="007D2718" w:rsidRDefault="00A81427" w:rsidP="007A0BF8">
      <w:pPr>
        <w:pStyle w:val="Caption"/>
        <w:jc w:val="both"/>
        <w:rPr>
          <w:b/>
        </w:rPr>
      </w:pPr>
      <w:r w:rsidRPr="007D2718">
        <w:t xml:space="preserve">Table 1: </w:t>
      </w:r>
      <w:r>
        <w:t>Quad</w:t>
      </w:r>
      <w:r w:rsidR="00415528">
        <w:t>rupole</w:t>
      </w:r>
      <w:r w:rsidR="007A0BF8">
        <w:t xml:space="preserve"> requirements</w:t>
      </w:r>
      <w:r w:rsidR="00532DA5">
        <w:t>: magnetic length; clear bore, good field, and outer radii; gradient</w:t>
      </w:r>
      <w:r w:rsidR="0065261E">
        <w:t xml:space="preserve"> (normal, skew).</w:t>
      </w:r>
    </w:p>
    <w:tbl>
      <w:tblPr>
        <w:tblW w:w="0" w:type="auto"/>
        <w:jc w:val="center"/>
        <w:tblBorders>
          <w:top w:val="single" w:sz="12" w:space="0" w:color="auto"/>
          <w:bottom w:val="single" w:sz="12" w:space="0" w:color="auto"/>
          <w:insideH w:val="single" w:sz="4" w:space="0" w:color="auto"/>
        </w:tblBorders>
        <w:tblCellMar>
          <w:left w:w="72" w:type="dxa"/>
          <w:right w:w="72" w:type="dxa"/>
        </w:tblCellMar>
        <w:tblLook w:val="0000" w:firstRow="0" w:lastRow="0" w:firstColumn="0" w:lastColumn="0" w:noHBand="0" w:noVBand="0"/>
      </w:tblPr>
      <w:tblGrid>
        <w:gridCol w:w="800"/>
        <w:gridCol w:w="681"/>
        <w:gridCol w:w="602"/>
        <w:gridCol w:w="534"/>
        <w:gridCol w:w="550"/>
        <w:gridCol w:w="754"/>
        <w:gridCol w:w="696"/>
      </w:tblGrid>
      <w:tr w:rsidR="00532DA5" w:rsidRPr="007D2718" w:rsidTr="0065261E">
        <w:trPr>
          <w:trHeight w:val="534"/>
          <w:jc w:val="center"/>
        </w:trPr>
        <w:tc>
          <w:tcPr>
            <w:tcW w:w="792" w:type="dxa"/>
            <w:tcBorders>
              <w:top w:val="single" w:sz="8" w:space="0" w:color="auto"/>
              <w:bottom w:val="single" w:sz="4" w:space="0" w:color="auto"/>
            </w:tcBorders>
          </w:tcPr>
          <w:p w:rsidR="00532DA5" w:rsidRPr="007D2718" w:rsidRDefault="00C46982" w:rsidP="001040FD">
            <w:pPr>
              <w:pStyle w:val="TableCaption"/>
              <w:keepNext/>
              <w:spacing w:before="20" w:after="20"/>
              <w:jc w:val="left"/>
              <w:rPr>
                <w:b/>
                <w:bCs/>
                <w:kern w:val="16"/>
                <w:szCs w:val="18"/>
              </w:rPr>
            </w:pPr>
            <w:r>
              <w:rPr>
                <w:b/>
                <w:bCs/>
                <w:kern w:val="16"/>
                <w:szCs w:val="18"/>
              </w:rPr>
              <w:t>Element name</w:t>
            </w:r>
          </w:p>
        </w:tc>
        <w:tc>
          <w:tcPr>
            <w:tcW w:w="681" w:type="dxa"/>
            <w:tcBorders>
              <w:top w:val="single" w:sz="8" w:space="0" w:color="auto"/>
              <w:bottom w:val="single" w:sz="4" w:space="0" w:color="auto"/>
            </w:tcBorders>
          </w:tcPr>
          <w:p w:rsidR="00532DA5" w:rsidRDefault="00532DA5" w:rsidP="001040FD">
            <w:pPr>
              <w:pStyle w:val="TableCaption"/>
              <w:keepNext/>
              <w:spacing w:before="20" w:after="20"/>
              <w:rPr>
                <w:b/>
                <w:bCs/>
                <w:kern w:val="16"/>
                <w:szCs w:val="18"/>
              </w:rPr>
            </w:pPr>
            <w:r>
              <w:rPr>
                <w:b/>
                <w:bCs/>
                <w:kern w:val="16"/>
                <w:szCs w:val="18"/>
              </w:rPr>
              <w:t>L</w:t>
            </w:r>
            <w:r w:rsidRPr="00532DA5">
              <w:rPr>
                <w:b/>
                <w:bCs/>
                <w:kern w:val="16"/>
                <w:szCs w:val="18"/>
                <w:vertAlign w:val="subscript"/>
              </w:rPr>
              <w:t>mag</w:t>
            </w:r>
          </w:p>
          <w:p w:rsidR="00532DA5" w:rsidRPr="007D2718" w:rsidRDefault="00532DA5" w:rsidP="001040FD">
            <w:pPr>
              <w:pStyle w:val="TableCaption"/>
              <w:keepNext/>
              <w:spacing w:before="20" w:after="20"/>
              <w:rPr>
                <w:b/>
                <w:bCs/>
                <w:kern w:val="16"/>
                <w:szCs w:val="18"/>
              </w:rPr>
            </w:pPr>
            <w:r>
              <w:rPr>
                <w:b/>
                <w:bCs/>
                <w:kern w:val="16"/>
                <w:szCs w:val="18"/>
              </w:rPr>
              <w:t>[m]</w:t>
            </w:r>
          </w:p>
        </w:tc>
        <w:tc>
          <w:tcPr>
            <w:tcW w:w="602" w:type="dxa"/>
            <w:tcBorders>
              <w:top w:val="single" w:sz="8" w:space="0" w:color="auto"/>
              <w:bottom w:val="single" w:sz="4" w:space="0" w:color="auto"/>
            </w:tcBorders>
          </w:tcPr>
          <w:p w:rsidR="00532DA5" w:rsidRPr="00A81126" w:rsidRDefault="00532DA5" w:rsidP="00A81126">
            <w:pPr>
              <w:pStyle w:val="TableCaption"/>
              <w:keepNext/>
              <w:spacing w:before="20" w:after="20"/>
              <w:rPr>
                <w:b/>
                <w:bCs/>
                <w:kern w:val="16"/>
                <w:szCs w:val="18"/>
              </w:rPr>
            </w:pPr>
            <w:r>
              <w:rPr>
                <w:b/>
                <w:bCs/>
                <w:kern w:val="16"/>
                <w:szCs w:val="18"/>
              </w:rPr>
              <w:t>R</w:t>
            </w:r>
            <w:r w:rsidRPr="00532DA5">
              <w:rPr>
                <w:b/>
                <w:bCs/>
                <w:kern w:val="16"/>
                <w:szCs w:val="18"/>
                <w:vertAlign w:val="subscript"/>
              </w:rPr>
              <w:t>bore</w:t>
            </w:r>
            <w:r>
              <w:rPr>
                <w:b/>
                <w:bCs/>
                <w:kern w:val="16"/>
                <w:szCs w:val="18"/>
              </w:rPr>
              <w:t xml:space="preserve"> [cm]</w:t>
            </w:r>
          </w:p>
        </w:tc>
        <w:tc>
          <w:tcPr>
            <w:tcW w:w="528" w:type="dxa"/>
            <w:tcBorders>
              <w:top w:val="single" w:sz="8" w:space="0" w:color="auto"/>
              <w:bottom w:val="single" w:sz="4" w:space="0" w:color="auto"/>
            </w:tcBorders>
          </w:tcPr>
          <w:p w:rsidR="00532DA5" w:rsidRDefault="00532DA5" w:rsidP="001040FD">
            <w:pPr>
              <w:pStyle w:val="TableCaption"/>
              <w:keepNext/>
              <w:spacing w:before="20" w:after="20"/>
              <w:rPr>
                <w:b/>
                <w:bCs/>
                <w:kern w:val="16"/>
                <w:szCs w:val="18"/>
              </w:rPr>
            </w:pPr>
            <w:r>
              <w:rPr>
                <w:b/>
                <w:bCs/>
                <w:kern w:val="16"/>
                <w:szCs w:val="18"/>
              </w:rPr>
              <w:t>R</w:t>
            </w:r>
            <w:r w:rsidRPr="00532DA5">
              <w:rPr>
                <w:b/>
                <w:bCs/>
                <w:kern w:val="16"/>
                <w:szCs w:val="18"/>
                <w:vertAlign w:val="subscript"/>
              </w:rPr>
              <w:t>field</w:t>
            </w:r>
            <w:r>
              <w:rPr>
                <w:b/>
                <w:bCs/>
                <w:kern w:val="16"/>
                <w:szCs w:val="18"/>
              </w:rPr>
              <w:t xml:space="preserve"> [cm]</w:t>
            </w:r>
          </w:p>
        </w:tc>
        <w:tc>
          <w:tcPr>
            <w:tcW w:w="550" w:type="dxa"/>
            <w:tcBorders>
              <w:top w:val="single" w:sz="8" w:space="0" w:color="auto"/>
              <w:bottom w:val="single" w:sz="4" w:space="0" w:color="auto"/>
            </w:tcBorders>
          </w:tcPr>
          <w:p w:rsidR="00532DA5" w:rsidRDefault="00532DA5" w:rsidP="001040FD">
            <w:pPr>
              <w:pStyle w:val="TableCaption"/>
              <w:keepNext/>
              <w:spacing w:before="20" w:after="20"/>
              <w:rPr>
                <w:b/>
                <w:bCs/>
                <w:kern w:val="16"/>
                <w:szCs w:val="18"/>
              </w:rPr>
            </w:pPr>
            <w:r>
              <w:rPr>
                <w:b/>
                <w:bCs/>
                <w:kern w:val="16"/>
                <w:szCs w:val="18"/>
              </w:rPr>
              <w:t>R</w:t>
            </w:r>
            <w:r w:rsidRPr="00532DA5">
              <w:rPr>
                <w:b/>
                <w:bCs/>
                <w:kern w:val="16"/>
                <w:szCs w:val="18"/>
                <w:vertAlign w:val="subscript"/>
              </w:rPr>
              <w:t>out</w:t>
            </w:r>
            <w:r>
              <w:rPr>
                <w:b/>
                <w:bCs/>
                <w:kern w:val="16"/>
                <w:szCs w:val="18"/>
              </w:rPr>
              <w:t xml:space="preserve"> [cm]</w:t>
            </w:r>
          </w:p>
        </w:tc>
        <w:tc>
          <w:tcPr>
            <w:tcW w:w="754" w:type="dxa"/>
            <w:tcBorders>
              <w:top w:val="single" w:sz="8" w:space="0" w:color="auto"/>
              <w:bottom w:val="single" w:sz="4" w:space="0" w:color="auto"/>
            </w:tcBorders>
          </w:tcPr>
          <w:p w:rsidR="00532DA5" w:rsidRPr="007D2718" w:rsidRDefault="00532DA5" w:rsidP="00532DA5">
            <w:pPr>
              <w:pStyle w:val="TableCaption"/>
              <w:keepNext/>
              <w:spacing w:before="20" w:after="20"/>
              <w:rPr>
                <w:b/>
                <w:bCs/>
                <w:kern w:val="16"/>
                <w:szCs w:val="18"/>
              </w:rPr>
            </w:pPr>
            <w:r>
              <w:rPr>
                <w:b/>
                <w:bCs/>
                <w:kern w:val="16"/>
                <w:szCs w:val="18"/>
              </w:rPr>
              <w:t>G</w:t>
            </w:r>
            <w:r w:rsidRPr="00532DA5">
              <w:rPr>
                <w:b/>
                <w:bCs/>
                <w:kern w:val="16"/>
                <w:szCs w:val="18"/>
                <w:vertAlign w:val="subscript"/>
              </w:rPr>
              <w:t>normal</w:t>
            </w:r>
            <w:r>
              <w:rPr>
                <w:b/>
                <w:bCs/>
                <w:kern w:val="16"/>
                <w:szCs w:val="18"/>
              </w:rPr>
              <w:t xml:space="preserve"> [T/m]</w:t>
            </w:r>
          </w:p>
        </w:tc>
        <w:tc>
          <w:tcPr>
            <w:tcW w:w="696" w:type="dxa"/>
            <w:tcBorders>
              <w:top w:val="single" w:sz="8" w:space="0" w:color="auto"/>
              <w:bottom w:val="single" w:sz="4" w:space="0" w:color="auto"/>
            </w:tcBorders>
          </w:tcPr>
          <w:p w:rsidR="00532DA5" w:rsidRPr="007D2718" w:rsidRDefault="00532DA5" w:rsidP="00532DA5">
            <w:pPr>
              <w:pStyle w:val="TableCaption"/>
              <w:keepNext/>
              <w:spacing w:before="20" w:after="20"/>
              <w:rPr>
                <w:b/>
                <w:bCs/>
                <w:kern w:val="16"/>
                <w:szCs w:val="18"/>
              </w:rPr>
            </w:pPr>
            <w:r>
              <w:rPr>
                <w:b/>
                <w:bCs/>
                <w:kern w:val="16"/>
                <w:szCs w:val="18"/>
              </w:rPr>
              <w:t>G</w:t>
            </w:r>
            <w:r w:rsidRPr="00532DA5">
              <w:rPr>
                <w:b/>
                <w:bCs/>
                <w:kern w:val="16"/>
                <w:szCs w:val="18"/>
                <w:vertAlign w:val="subscript"/>
              </w:rPr>
              <w:t>skew</w:t>
            </w:r>
            <w:r>
              <w:rPr>
                <w:b/>
                <w:bCs/>
                <w:kern w:val="16"/>
                <w:szCs w:val="18"/>
              </w:rPr>
              <w:t xml:space="preserve"> [T/m]</w:t>
            </w:r>
          </w:p>
        </w:tc>
      </w:tr>
      <w:tr w:rsidR="00532DA5" w:rsidRPr="007D2718" w:rsidTr="0065261E">
        <w:trPr>
          <w:trHeight w:val="271"/>
          <w:jc w:val="center"/>
        </w:trPr>
        <w:tc>
          <w:tcPr>
            <w:tcW w:w="792" w:type="dxa"/>
            <w:tcBorders>
              <w:top w:val="single" w:sz="4" w:space="0" w:color="auto"/>
              <w:bottom w:val="nil"/>
            </w:tcBorders>
          </w:tcPr>
          <w:p w:rsidR="00532DA5" w:rsidRPr="007D2718" w:rsidRDefault="00532DA5" w:rsidP="003B6F12">
            <w:pPr>
              <w:pStyle w:val="TableCaption"/>
              <w:keepNext/>
              <w:spacing w:before="20" w:after="20"/>
              <w:jc w:val="left"/>
              <w:rPr>
                <w:kern w:val="16"/>
                <w:szCs w:val="18"/>
              </w:rPr>
            </w:pPr>
            <w:r>
              <w:rPr>
                <w:kern w:val="16"/>
                <w:szCs w:val="18"/>
              </w:rPr>
              <w:t>eQDS1</w:t>
            </w:r>
          </w:p>
        </w:tc>
        <w:tc>
          <w:tcPr>
            <w:tcW w:w="681" w:type="dxa"/>
            <w:tcBorders>
              <w:top w:val="single" w:sz="4" w:space="0" w:color="auto"/>
              <w:bottom w:val="nil"/>
            </w:tcBorders>
          </w:tcPr>
          <w:p w:rsidR="00532DA5" w:rsidRPr="007D2718" w:rsidRDefault="00532DA5" w:rsidP="003B6F12">
            <w:pPr>
              <w:pStyle w:val="TableCaption"/>
              <w:keepNext/>
              <w:spacing w:before="20" w:after="20"/>
              <w:rPr>
                <w:kern w:val="16"/>
                <w:szCs w:val="18"/>
              </w:rPr>
            </w:pPr>
            <w:r>
              <w:rPr>
                <w:kern w:val="16"/>
                <w:szCs w:val="18"/>
              </w:rPr>
              <w:t>0.6</w:t>
            </w:r>
          </w:p>
        </w:tc>
        <w:tc>
          <w:tcPr>
            <w:tcW w:w="602" w:type="dxa"/>
            <w:tcBorders>
              <w:top w:val="single" w:sz="4" w:space="0" w:color="auto"/>
              <w:bottom w:val="nil"/>
            </w:tcBorders>
          </w:tcPr>
          <w:p w:rsidR="00532DA5" w:rsidRPr="007D2718" w:rsidRDefault="00532DA5" w:rsidP="003B6F12">
            <w:pPr>
              <w:pStyle w:val="TableCaption"/>
              <w:keepNext/>
              <w:spacing w:before="20" w:after="20"/>
              <w:rPr>
                <w:kern w:val="16"/>
                <w:szCs w:val="18"/>
              </w:rPr>
            </w:pPr>
            <w:r>
              <w:rPr>
                <w:kern w:val="16"/>
                <w:szCs w:val="18"/>
              </w:rPr>
              <w:t>4.5</w:t>
            </w:r>
          </w:p>
        </w:tc>
        <w:tc>
          <w:tcPr>
            <w:tcW w:w="528" w:type="dxa"/>
            <w:tcBorders>
              <w:top w:val="single" w:sz="4" w:space="0" w:color="auto"/>
              <w:bottom w:val="nil"/>
            </w:tcBorders>
          </w:tcPr>
          <w:p w:rsidR="00532DA5" w:rsidRDefault="0065261E" w:rsidP="003B6F12">
            <w:pPr>
              <w:pStyle w:val="TableCaption"/>
              <w:keepNext/>
              <w:spacing w:before="20" w:after="20"/>
              <w:rPr>
                <w:kern w:val="16"/>
                <w:szCs w:val="18"/>
              </w:rPr>
            </w:pPr>
            <w:r>
              <w:rPr>
                <w:kern w:val="16"/>
                <w:szCs w:val="18"/>
              </w:rPr>
              <w:t>1.7</w:t>
            </w:r>
          </w:p>
        </w:tc>
        <w:tc>
          <w:tcPr>
            <w:tcW w:w="550" w:type="dxa"/>
            <w:tcBorders>
              <w:top w:val="single" w:sz="4" w:space="0" w:color="auto"/>
              <w:bottom w:val="nil"/>
            </w:tcBorders>
          </w:tcPr>
          <w:p w:rsidR="00532DA5" w:rsidRPr="007D2718" w:rsidRDefault="00532DA5" w:rsidP="003B6F12">
            <w:pPr>
              <w:pStyle w:val="TableCaption"/>
              <w:keepNext/>
              <w:spacing w:before="20" w:after="20"/>
              <w:rPr>
                <w:kern w:val="16"/>
                <w:szCs w:val="18"/>
              </w:rPr>
            </w:pPr>
            <w:r>
              <w:rPr>
                <w:kern w:val="16"/>
                <w:szCs w:val="18"/>
              </w:rPr>
              <w:t>8</w:t>
            </w:r>
            <w:r w:rsidR="0065261E">
              <w:rPr>
                <w:kern w:val="16"/>
                <w:szCs w:val="18"/>
              </w:rPr>
              <w:t>.0</w:t>
            </w:r>
          </w:p>
        </w:tc>
        <w:tc>
          <w:tcPr>
            <w:tcW w:w="754" w:type="dxa"/>
            <w:tcBorders>
              <w:top w:val="single" w:sz="4" w:space="0" w:color="auto"/>
              <w:bottom w:val="nil"/>
            </w:tcBorders>
          </w:tcPr>
          <w:p w:rsidR="00532DA5" w:rsidRPr="007D2718" w:rsidRDefault="00532DA5" w:rsidP="003B6F12">
            <w:pPr>
              <w:pStyle w:val="TableCaption"/>
              <w:keepNext/>
              <w:spacing w:before="20" w:after="20"/>
              <w:rPr>
                <w:kern w:val="16"/>
                <w:szCs w:val="18"/>
              </w:rPr>
            </w:pPr>
            <w:r>
              <w:rPr>
                <w:kern w:val="16"/>
                <w:szCs w:val="18"/>
              </w:rPr>
              <w:t>-33.7</w:t>
            </w:r>
            <w:r w:rsidR="00271956">
              <w:rPr>
                <w:kern w:val="16"/>
                <w:szCs w:val="18"/>
              </w:rPr>
              <w:t>5</w:t>
            </w:r>
          </w:p>
        </w:tc>
        <w:tc>
          <w:tcPr>
            <w:tcW w:w="696" w:type="dxa"/>
            <w:tcBorders>
              <w:top w:val="single" w:sz="4" w:space="0" w:color="auto"/>
              <w:bottom w:val="nil"/>
            </w:tcBorders>
          </w:tcPr>
          <w:p w:rsidR="00532DA5" w:rsidRPr="007D2718" w:rsidRDefault="00532DA5" w:rsidP="003B6F12">
            <w:pPr>
              <w:pStyle w:val="TableCaption"/>
              <w:keepNext/>
              <w:spacing w:before="20" w:after="20"/>
              <w:rPr>
                <w:kern w:val="16"/>
                <w:szCs w:val="18"/>
              </w:rPr>
            </w:pPr>
            <w:r>
              <w:rPr>
                <w:kern w:val="16"/>
                <w:szCs w:val="18"/>
              </w:rPr>
              <w:t>-4.89</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eQDS2</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0.6</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4.5</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2.8</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8.5</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 xml:space="preserve"> 36.2</w:t>
            </w:r>
            <w:r w:rsidR="00271956">
              <w:rPr>
                <w:kern w:val="16"/>
                <w:szCs w:val="18"/>
              </w:rPr>
              <w:t>2</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 xml:space="preserve"> 5.25</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eQDS3</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0.6</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4.5</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2.4</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10</w:t>
            </w:r>
            <w:r w:rsidR="0065261E">
              <w:rPr>
                <w:kern w:val="16"/>
                <w:szCs w:val="18"/>
              </w:rPr>
              <w:t>.0</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-18.7</w:t>
            </w:r>
            <w:r w:rsidR="00271956" w:rsidRPr="00FC3F34">
              <w:rPr>
                <w:kern w:val="16"/>
                <w:szCs w:val="18"/>
              </w:rPr>
              <w:t>2</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-2.71</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eQUS1</w:t>
            </w:r>
          </w:p>
        </w:tc>
        <w:tc>
          <w:tcPr>
            <w:tcW w:w="681" w:type="dxa"/>
            <w:tcBorders>
              <w:top w:val="nil"/>
              <w:bottom w:val="nil"/>
            </w:tcBorders>
          </w:tcPr>
          <w:p w:rsidR="00532DA5" w:rsidRPr="007D2718" w:rsidRDefault="0065261E" w:rsidP="003B6F12">
            <w:pPr>
              <w:pStyle w:val="TableCaption"/>
              <w:keepNext/>
              <w:spacing w:before="20" w:after="20"/>
              <w:rPr>
                <w:kern w:val="16"/>
                <w:szCs w:val="18"/>
              </w:rPr>
            </w:pPr>
            <w:r>
              <w:rPr>
                <w:kern w:val="16"/>
                <w:szCs w:val="18"/>
              </w:rPr>
              <w:t>0.6</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4.5</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2.0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10</w:t>
            </w:r>
            <w:r w:rsidR="0065261E">
              <w:rPr>
                <w:kern w:val="16"/>
                <w:szCs w:val="18"/>
              </w:rPr>
              <w:t>.0</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-36.9</w:t>
            </w:r>
            <w:r w:rsidR="00271956">
              <w:rPr>
                <w:kern w:val="16"/>
                <w:szCs w:val="18"/>
              </w:rPr>
              <w:t>4</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 xml:space="preserve"> 8.10</w:t>
            </w:r>
          </w:p>
        </w:tc>
      </w:tr>
      <w:tr w:rsidR="00532DA5" w:rsidRPr="007D2718" w:rsidTr="0065261E">
        <w:trPr>
          <w:trHeight w:val="280"/>
          <w:jc w:val="center"/>
        </w:trPr>
        <w:tc>
          <w:tcPr>
            <w:tcW w:w="792" w:type="dxa"/>
            <w:tcBorders>
              <w:top w:val="nil"/>
              <w:bottom w:val="nil"/>
            </w:tcBorders>
          </w:tcPr>
          <w:p w:rsidR="00532DA5" w:rsidRPr="007D2718" w:rsidRDefault="00271956" w:rsidP="003B6F12">
            <w:pPr>
              <w:pStyle w:val="TableCaption"/>
              <w:keepNext/>
              <w:spacing w:before="20" w:after="20"/>
              <w:jc w:val="left"/>
              <w:rPr>
                <w:kern w:val="16"/>
                <w:szCs w:val="18"/>
              </w:rPr>
            </w:pPr>
            <w:r>
              <w:rPr>
                <w:kern w:val="16"/>
                <w:szCs w:val="18"/>
              </w:rPr>
              <w:t>eQUS</w:t>
            </w:r>
            <w:r w:rsidR="00532DA5">
              <w:rPr>
                <w:kern w:val="16"/>
                <w:szCs w:val="18"/>
              </w:rPr>
              <w:t>2</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0.6</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4.5</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3.2</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11</w:t>
            </w:r>
            <w:r w:rsidR="0065261E">
              <w:rPr>
                <w:kern w:val="16"/>
                <w:szCs w:val="18"/>
              </w:rPr>
              <w:t>.0</w:t>
            </w:r>
          </w:p>
        </w:tc>
        <w:tc>
          <w:tcPr>
            <w:tcW w:w="754" w:type="dxa"/>
            <w:tcBorders>
              <w:top w:val="nil"/>
              <w:bottom w:val="nil"/>
            </w:tcBorders>
          </w:tcPr>
          <w:p w:rsidR="00532DA5" w:rsidRPr="007D2718" w:rsidRDefault="00271956" w:rsidP="003B6F12">
            <w:pPr>
              <w:pStyle w:val="TableCaption"/>
              <w:keepNext/>
              <w:spacing w:before="20" w:after="20"/>
              <w:rPr>
                <w:kern w:val="16"/>
                <w:szCs w:val="18"/>
              </w:rPr>
            </w:pPr>
            <w:r>
              <w:rPr>
                <w:kern w:val="16"/>
                <w:szCs w:val="18"/>
              </w:rPr>
              <w:t xml:space="preserve"> 33.66</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-7.38</w:t>
            </w:r>
            <w:r w:rsidRPr="007D2718">
              <w:rPr>
                <w:kern w:val="16"/>
                <w:szCs w:val="18"/>
              </w:rPr>
              <w:t xml:space="preserve"> </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spacing w:before="20" w:after="20"/>
              <w:jc w:val="left"/>
              <w:rPr>
                <w:kern w:val="16"/>
                <w:szCs w:val="18"/>
              </w:rPr>
            </w:pPr>
            <w:r>
              <w:rPr>
                <w:kern w:val="16"/>
                <w:szCs w:val="18"/>
              </w:rPr>
              <w:t>eQUS3</w:t>
            </w:r>
          </w:p>
        </w:tc>
        <w:tc>
          <w:tcPr>
            <w:tcW w:w="681" w:type="dxa"/>
            <w:tcBorders>
              <w:top w:val="nil"/>
              <w:bottom w:val="nil"/>
            </w:tcBorders>
          </w:tcPr>
          <w:p w:rsidR="00532DA5" w:rsidRPr="007D2718" w:rsidRDefault="00532DA5" w:rsidP="003B6F12">
            <w:pPr>
              <w:pStyle w:val="TableCaption"/>
              <w:spacing w:before="20" w:after="20"/>
              <w:rPr>
                <w:kern w:val="16"/>
                <w:szCs w:val="18"/>
              </w:rPr>
            </w:pPr>
            <w:r>
              <w:rPr>
                <w:kern w:val="16"/>
                <w:szCs w:val="18"/>
              </w:rPr>
              <w:t>0.6</w:t>
            </w:r>
          </w:p>
        </w:tc>
        <w:tc>
          <w:tcPr>
            <w:tcW w:w="602" w:type="dxa"/>
            <w:tcBorders>
              <w:top w:val="nil"/>
              <w:bottom w:val="nil"/>
            </w:tcBorders>
          </w:tcPr>
          <w:p w:rsidR="00532DA5" w:rsidRPr="007D2718" w:rsidRDefault="00532DA5" w:rsidP="003B6F12">
            <w:pPr>
              <w:pStyle w:val="TableCaption"/>
              <w:spacing w:before="20" w:after="20"/>
              <w:rPr>
                <w:kern w:val="16"/>
                <w:szCs w:val="18"/>
              </w:rPr>
            </w:pPr>
            <w:r>
              <w:rPr>
                <w:kern w:val="16"/>
                <w:szCs w:val="18"/>
              </w:rPr>
              <w:t>4.5</w:t>
            </w:r>
          </w:p>
        </w:tc>
        <w:tc>
          <w:tcPr>
            <w:tcW w:w="528" w:type="dxa"/>
            <w:tcBorders>
              <w:top w:val="nil"/>
              <w:bottom w:val="nil"/>
            </w:tcBorders>
          </w:tcPr>
          <w:p w:rsidR="00532DA5" w:rsidRDefault="0065261E" w:rsidP="003B6F12">
            <w:pPr>
              <w:pStyle w:val="TableCaption"/>
              <w:spacing w:before="20" w:after="20"/>
              <w:rPr>
                <w:kern w:val="16"/>
                <w:szCs w:val="18"/>
              </w:rPr>
            </w:pPr>
            <w:r>
              <w:rPr>
                <w:kern w:val="16"/>
                <w:szCs w:val="18"/>
              </w:rPr>
              <w:t>1.5</w:t>
            </w:r>
          </w:p>
        </w:tc>
        <w:tc>
          <w:tcPr>
            <w:tcW w:w="550" w:type="dxa"/>
            <w:tcBorders>
              <w:top w:val="nil"/>
              <w:bottom w:val="nil"/>
            </w:tcBorders>
          </w:tcPr>
          <w:p w:rsidR="00532DA5" w:rsidRPr="007D2718" w:rsidRDefault="00302F1A" w:rsidP="003B6F12">
            <w:pPr>
              <w:pStyle w:val="TableCaption"/>
              <w:spacing w:before="20" w:after="20"/>
              <w:rPr>
                <w:kern w:val="16"/>
                <w:szCs w:val="18"/>
              </w:rPr>
            </w:pPr>
            <w:r>
              <w:rPr>
                <w:kern w:val="16"/>
                <w:szCs w:val="18"/>
              </w:rPr>
              <w:t>11</w:t>
            </w:r>
            <w:r w:rsidR="0065261E">
              <w:rPr>
                <w:kern w:val="16"/>
                <w:szCs w:val="18"/>
              </w:rPr>
              <w:t>.0</w:t>
            </w:r>
          </w:p>
        </w:tc>
        <w:tc>
          <w:tcPr>
            <w:tcW w:w="754" w:type="dxa"/>
            <w:tcBorders>
              <w:top w:val="nil"/>
              <w:bottom w:val="nil"/>
            </w:tcBorders>
          </w:tcPr>
          <w:p w:rsidR="00532DA5" w:rsidRPr="007D2718" w:rsidRDefault="00532DA5" w:rsidP="003B6F12">
            <w:pPr>
              <w:pStyle w:val="TableCaption"/>
              <w:spacing w:before="20" w:after="20"/>
              <w:rPr>
                <w:kern w:val="16"/>
                <w:szCs w:val="18"/>
              </w:rPr>
            </w:pPr>
            <w:r>
              <w:rPr>
                <w:kern w:val="16"/>
                <w:szCs w:val="18"/>
              </w:rPr>
              <w:t>-20.8</w:t>
            </w:r>
            <w:r w:rsidR="0065261E">
              <w:rPr>
                <w:kern w:val="16"/>
                <w:szCs w:val="18"/>
              </w:rPr>
              <w:t>0</w:t>
            </w:r>
          </w:p>
        </w:tc>
        <w:tc>
          <w:tcPr>
            <w:tcW w:w="696" w:type="dxa"/>
            <w:tcBorders>
              <w:top w:val="nil"/>
              <w:bottom w:val="nil"/>
            </w:tcBorders>
          </w:tcPr>
          <w:p w:rsidR="00532DA5" w:rsidRPr="007D2718" w:rsidRDefault="00532DA5" w:rsidP="003B6F12">
            <w:pPr>
              <w:pStyle w:val="TableCaption"/>
              <w:spacing w:before="20" w:after="20"/>
              <w:rPr>
                <w:kern w:val="16"/>
                <w:szCs w:val="18"/>
              </w:rPr>
            </w:pPr>
            <w:r>
              <w:rPr>
                <w:kern w:val="16"/>
                <w:szCs w:val="18"/>
              </w:rPr>
              <w:t xml:space="preserve"> 4.56</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iQDS1a</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2.25</w:t>
            </w:r>
            <w:r w:rsidRPr="007D2718">
              <w:rPr>
                <w:kern w:val="16"/>
                <w:szCs w:val="18"/>
              </w:rPr>
              <w:t xml:space="preserve"> </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9.2</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4.0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23.1</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-37.23</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-1.23</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iQDS1b</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2.25</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12.3</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4.0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31.0</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-37.23</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iQDS2</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4.5</w:t>
            </w:r>
            <w:r w:rsidR="0065261E">
              <w:rPr>
                <w:kern w:val="16"/>
                <w:szCs w:val="18"/>
              </w:rPr>
              <w:t>0</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17.7</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4.0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44.4</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 xml:space="preserve"> 25.96</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w:t>
            </w:r>
          </w:p>
        </w:tc>
      </w:tr>
      <w:tr w:rsidR="00532DA5" w:rsidRPr="007D2718" w:rsidTr="0065261E">
        <w:trPr>
          <w:trHeight w:val="280"/>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iQUS1a</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1.45</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w:t>
            </w:r>
            <w:r w:rsidR="0065261E">
              <w:rPr>
                <w:kern w:val="16"/>
                <w:szCs w:val="18"/>
              </w:rPr>
              <w:t>.0</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2.0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10.0</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-97.88</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-3.08</w:t>
            </w:r>
          </w:p>
        </w:tc>
      </w:tr>
      <w:tr w:rsidR="00532DA5" w:rsidRPr="007D2718" w:rsidTr="0065261E">
        <w:trPr>
          <w:trHeight w:val="271"/>
          <w:jc w:val="center"/>
        </w:trPr>
        <w:tc>
          <w:tcPr>
            <w:tcW w:w="792" w:type="dxa"/>
            <w:tcBorders>
              <w:top w:val="nil"/>
              <w:bottom w:val="nil"/>
            </w:tcBorders>
          </w:tcPr>
          <w:p w:rsidR="00532DA5" w:rsidRPr="007D2718" w:rsidRDefault="00532DA5" w:rsidP="003B6F12">
            <w:pPr>
              <w:pStyle w:val="TableCaption"/>
              <w:keepNext/>
              <w:spacing w:before="20" w:after="20"/>
              <w:jc w:val="left"/>
              <w:rPr>
                <w:kern w:val="16"/>
                <w:szCs w:val="18"/>
              </w:rPr>
            </w:pPr>
            <w:r>
              <w:rPr>
                <w:kern w:val="16"/>
                <w:szCs w:val="18"/>
              </w:rPr>
              <w:t>iQUS1b</w:t>
            </w:r>
          </w:p>
        </w:tc>
        <w:tc>
          <w:tcPr>
            <w:tcW w:w="681"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1.45</w:t>
            </w:r>
          </w:p>
        </w:tc>
        <w:tc>
          <w:tcPr>
            <w:tcW w:w="602"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3</w:t>
            </w:r>
            <w:r w:rsidR="0065261E">
              <w:rPr>
                <w:kern w:val="16"/>
                <w:szCs w:val="18"/>
              </w:rPr>
              <w:t>.0</w:t>
            </w:r>
          </w:p>
        </w:tc>
        <w:tc>
          <w:tcPr>
            <w:tcW w:w="528" w:type="dxa"/>
            <w:tcBorders>
              <w:top w:val="nil"/>
              <w:bottom w:val="nil"/>
            </w:tcBorders>
          </w:tcPr>
          <w:p w:rsidR="00532DA5" w:rsidRDefault="0065261E" w:rsidP="003B6F12">
            <w:pPr>
              <w:pStyle w:val="TableCaption"/>
              <w:keepNext/>
              <w:spacing w:before="20" w:after="20"/>
              <w:rPr>
                <w:kern w:val="16"/>
                <w:szCs w:val="18"/>
              </w:rPr>
            </w:pPr>
            <w:r>
              <w:rPr>
                <w:kern w:val="16"/>
                <w:szCs w:val="18"/>
              </w:rPr>
              <w:t>2.0</w:t>
            </w:r>
          </w:p>
        </w:tc>
        <w:tc>
          <w:tcPr>
            <w:tcW w:w="550"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10.0</w:t>
            </w:r>
          </w:p>
        </w:tc>
        <w:tc>
          <w:tcPr>
            <w:tcW w:w="754"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-97-88</w:t>
            </w:r>
          </w:p>
        </w:tc>
        <w:tc>
          <w:tcPr>
            <w:tcW w:w="696" w:type="dxa"/>
            <w:tcBorders>
              <w:top w:val="nil"/>
              <w:bottom w:val="nil"/>
            </w:tcBorders>
          </w:tcPr>
          <w:p w:rsidR="00532DA5" w:rsidRPr="007D2718" w:rsidRDefault="00532DA5" w:rsidP="003B6F12">
            <w:pPr>
              <w:pStyle w:val="TableCaption"/>
              <w:keepNext/>
              <w:spacing w:before="20" w:after="20"/>
              <w:rPr>
                <w:kern w:val="16"/>
                <w:szCs w:val="18"/>
              </w:rPr>
            </w:pPr>
            <w:r>
              <w:rPr>
                <w:kern w:val="16"/>
                <w:szCs w:val="18"/>
              </w:rPr>
              <w:t>-</w:t>
            </w:r>
          </w:p>
        </w:tc>
      </w:tr>
      <w:tr w:rsidR="00532DA5" w:rsidRPr="007D2718" w:rsidTr="0065261E">
        <w:trPr>
          <w:trHeight w:val="271"/>
          <w:jc w:val="center"/>
        </w:trPr>
        <w:tc>
          <w:tcPr>
            <w:tcW w:w="792" w:type="dxa"/>
            <w:tcBorders>
              <w:top w:val="nil"/>
              <w:bottom w:val="single" w:sz="8" w:space="0" w:color="auto"/>
            </w:tcBorders>
          </w:tcPr>
          <w:p w:rsidR="00532DA5" w:rsidRPr="007D2718" w:rsidRDefault="00532DA5" w:rsidP="003B6F12">
            <w:pPr>
              <w:pStyle w:val="TableCaption"/>
              <w:keepNext/>
              <w:spacing w:before="20" w:after="20"/>
              <w:jc w:val="left"/>
              <w:rPr>
                <w:kern w:val="16"/>
                <w:szCs w:val="18"/>
              </w:rPr>
            </w:pPr>
            <w:r>
              <w:rPr>
                <w:kern w:val="16"/>
                <w:szCs w:val="18"/>
              </w:rPr>
              <w:t>iQUS2</w:t>
            </w:r>
          </w:p>
        </w:tc>
        <w:tc>
          <w:tcPr>
            <w:tcW w:w="681" w:type="dxa"/>
            <w:tcBorders>
              <w:top w:val="nil"/>
              <w:bottom w:val="single" w:sz="8" w:space="0" w:color="auto"/>
            </w:tcBorders>
          </w:tcPr>
          <w:p w:rsidR="00532DA5" w:rsidRPr="007D2718" w:rsidRDefault="00532DA5" w:rsidP="003B6F12">
            <w:pPr>
              <w:pStyle w:val="TableCaption"/>
              <w:keepNext/>
              <w:spacing w:before="20" w:after="20"/>
              <w:rPr>
                <w:kern w:val="16"/>
                <w:szCs w:val="18"/>
              </w:rPr>
            </w:pPr>
            <w:r>
              <w:rPr>
                <w:kern w:val="16"/>
                <w:szCs w:val="18"/>
              </w:rPr>
              <w:t>2.1</w:t>
            </w:r>
            <w:r w:rsidR="0065261E">
              <w:rPr>
                <w:kern w:val="16"/>
                <w:szCs w:val="18"/>
              </w:rPr>
              <w:t>0</w:t>
            </w:r>
          </w:p>
        </w:tc>
        <w:tc>
          <w:tcPr>
            <w:tcW w:w="602" w:type="dxa"/>
            <w:tcBorders>
              <w:top w:val="nil"/>
              <w:bottom w:val="single" w:sz="8" w:space="0" w:color="auto"/>
            </w:tcBorders>
          </w:tcPr>
          <w:p w:rsidR="00532DA5" w:rsidRPr="007D2718" w:rsidRDefault="00532DA5" w:rsidP="003B6F12">
            <w:pPr>
              <w:pStyle w:val="TableCaption"/>
              <w:keepNext/>
              <w:spacing w:before="20" w:after="20"/>
              <w:rPr>
                <w:kern w:val="16"/>
                <w:szCs w:val="18"/>
              </w:rPr>
            </w:pPr>
            <w:r>
              <w:rPr>
                <w:kern w:val="16"/>
                <w:szCs w:val="18"/>
              </w:rPr>
              <w:t>4</w:t>
            </w:r>
            <w:r w:rsidR="0065261E">
              <w:rPr>
                <w:kern w:val="16"/>
                <w:szCs w:val="18"/>
              </w:rPr>
              <w:t>.0</w:t>
            </w:r>
          </w:p>
        </w:tc>
        <w:tc>
          <w:tcPr>
            <w:tcW w:w="528" w:type="dxa"/>
            <w:tcBorders>
              <w:top w:val="nil"/>
              <w:bottom w:val="single" w:sz="8" w:space="0" w:color="auto"/>
            </w:tcBorders>
          </w:tcPr>
          <w:p w:rsidR="00532DA5" w:rsidRDefault="0065261E" w:rsidP="003B6F12">
            <w:pPr>
              <w:pStyle w:val="TableCaption"/>
              <w:keepNext/>
              <w:spacing w:before="20" w:after="20"/>
              <w:rPr>
                <w:kern w:val="16"/>
                <w:szCs w:val="18"/>
              </w:rPr>
            </w:pPr>
            <w:r>
              <w:rPr>
                <w:kern w:val="16"/>
                <w:szCs w:val="18"/>
              </w:rPr>
              <w:t>3.0</w:t>
            </w:r>
          </w:p>
        </w:tc>
        <w:tc>
          <w:tcPr>
            <w:tcW w:w="550" w:type="dxa"/>
            <w:tcBorders>
              <w:top w:val="nil"/>
              <w:bottom w:val="single" w:sz="8" w:space="0" w:color="auto"/>
            </w:tcBorders>
          </w:tcPr>
          <w:p w:rsidR="00532DA5" w:rsidRPr="007D2718" w:rsidRDefault="00532DA5" w:rsidP="003B6F12">
            <w:pPr>
              <w:pStyle w:val="TableCaption"/>
              <w:keepNext/>
              <w:spacing w:before="20" w:after="20"/>
              <w:rPr>
                <w:kern w:val="16"/>
                <w:szCs w:val="18"/>
              </w:rPr>
            </w:pPr>
            <w:r>
              <w:rPr>
                <w:kern w:val="16"/>
                <w:szCs w:val="18"/>
              </w:rPr>
              <w:t>12.0</w:t>
            </w:r>
          </w:p>
        </w:tc>
        <w:tc>
          <w:tcPr>
            <w:tcW w:w="754" w:type="dxa"/>
            <w:tcBorders>
              <w:top w:val="nil"/>
              <w:bottom w:val="single" w:sz="8" w:space="0" w:color="auto"/>
            </w:tcBorders>
          </w:tcPr>
          <w:p w:rsidR="00532DA5" w:rsidRPr="007D2718" w:rsidRDefault="00532DA5" w:rsidP="003B6F12">
            <w:pPr>
              <w:pStyle w:val="TableCaption"/>
              <w:keepNext/>
              <w:spacing w:before="20" w:after="20"/>
              <w:rPr>
                <w:kern w:val="16"/>
                <w:szCs w:val="18"/>
              </w:rPr>
            </w:pPr>
            <w:r>
              <w:rPr>
                <w:kern w:val="16"/>
                <w:szCs w:val="18"/>
              </w:rPr>
              <w:t xml:space="preserve"> 94.07</w:t>
            </w:r>
          </w:p>
        </w:tc>
        <w:tc>
          <w:tcPr>
            <w:tcW w:w="696" w:type="dxa"/>
            <w:tcBorders>
              <w:top w:val="nil"/>
              <w:bottom w:val="single" w:sz="8" w:space="0" w:color="auto"/>
            </w:tcBorders>
          </w:tcPr>
          <w:p w:rsidR="00532DA5" w:rsidRPr="007D2718" w:rsidRDefault="00532DA5" w:rsidP="003B6F12">
            <w:pPr>
              <w:pStyle w:val="TableCaption"/>
              <w:keepNext/>
              <w:spacing w:before="20" w:after="20"/>
              <w:rPr>
                <w:kern w:val="16"/>
                <w:szCs w:val="18"/>
              </w:rPr>
            </w:pPr>
            <w:r>
              <w:rPr>
                <w:kern w:val="16"/>
                <w:szCs w:val="18"/>
              </w:rPr>
              <w:t>-</w:t>
            </w:r>
          </w:p>
        </w:tc>
      </w:tr>
    </w:tbl>
    <w:p w:rsidR="008C174B" w:rsidRDefault="008C174B" w:rsidP="006556B6">
      <w:pPr>
        <w:pStyle w:val="BodyTextIndent"/>
        <w:rPr>
          <w:kern w:val="16"/>
        </w:rPr>
      </w:pPr>
    </w:p>
    <w:p w:rsidR="006556B6" w:rsidRPr="00543222" w:rsidRDefault="006556B6" w:rsidP="006556B6">
      <w:pPr>
        <w:pStyle w:val="BodyTextIndent"/>
        <w:rPr>
          <w:kern w:val="16"/>
        </w:rPr>
      </w:pPr>
      <w:r w:rsidRPr="00543222">
        <w:rPr>
          <w:kern w:val="16"/>
        </w:rPr>
        <w:t>In addition, in order to reduce the magnet cost and development time, the coil peak field</w:t>
      </w:r>
      <w:r>
        <w:rPr>
          <w:kern w:val="16"/>
        </w:rPr>
        <w:t>s</w:t>
      </w:r>
      <w:r w:rsidRPr="00543222">
        <w:rPr>
          <w:kern w:val="16"/>
        </w:rPr>
        <w:t xml:space="preserve"> are chosen to be within the operation</w:t>
      </w:r>
      <w:r w:rsidR="00714AA4">
        <w:rPr>
          <w:kern w:val="16"/>
        </w:rPr>
        <w:t>al</w:t>
      </w:r>
      <w:r w:rsidRPr="00543222">
        <w:rPr>
          <w:kern w:val="16"/>
        </w:rPr>
        <w:t xml:space="preserve"> limits of the well-established NbTi superconductor and associated</w:t>
      </w:r>
      <w:r>
        <w:rPr>
          <w:kern w:val="16"/>
        </w:rPr>
        <w:t xml:space="preserve"> magnet technologies</w:t>
      </w:r>
      <w:r w:rsidRPr="00543222">
        <w:rPr>
          <w:kern w:val="16"/>
        </w:rPr>
        <w:t xml:space="preserve">. </w:t>
      </w:r>
    </w:p>
    <w:p w:rsidR="00615AD4" w:rsidRDefault="006556B6" w:rsidP="006556B6">
      <w:pPr>
        <w:pStyle w:val="BodyTextIndent"/>
        <w:rPr>
          <w:kern w:val="16"/>
        </w:rPr>
      </w:pPr>
      <w:r>
        <w:rPr>
          <w:kern w:val="16"/>
        </w:rPr>
        <w:t>The resulting parameters for the electron and ion final focusing quadrupoles are shown in Table 1. The</w:t>
      </w:r>
      <w:r w:rsidR="002B60F0">
        <w:rPr>
          <w:kern w:val="16"/>
        </w:rPr>
        <w:t xml:space="preserve"> naming convention starts with e/i for </w:t>
      </w:r>
      <w:r>
        <w:rPr>
          <w:kern w:val="16"/>
        </w:rPr>
        <w:t>electron</w:t>
      </w:r>
      <w:r w:rsidR="002B60F0">
        <w:rPr>
          <w:kern w:val="16"/>
        </w:rPr>
        <w:t>/ion</w:t>
      </w:r>
      <w:r>
        <w:rPr>
          <w:kern w:val="16"/>
        </w:rPr>
        <w:t xml:space="preserve">, followed by Q for quadrupole, DS/US </w:t>
      </w:r>
      <w:r>
        <w:rPr>
          <w:kern w:val="16"/>
        </w:rPr>
        <w:lastRenderedPageBreak/>
        <w:t xml:space="preserve">for downstream/upstream of the IP (based on the traveling direction of the corresponding beam), and a sequence </w:t>
      </w:r>
      <w:r w:rsidR="00615AD4">
        <w:rPr>
          <w:kern w:val="16"/>
        </w:rPr>
        <w:t>number moving away from the IP.</w:t>
      </w:r>
    </w:p>
    <w:p w:rsidR="00C158F0" w:rsidRDefault="00615AD4" w:rsidP="005731F3">
      <w:pPr>
        <w:pStyle w:val="BodyTextIndent"/>
        <w:rPr>
          <w:color w:val="000000" w:themeColor="text1"/>
          <w:kern w:val="16"/>
        </w:rPr>
      </w:pPr>
      <w:r>
        <w:rPr>
          <w:kern w:val="16"/>
        </w:rPr>
        <w:t xml:space="preserve">The </w:t>
      </w:r>
      <w:r w:rsidR="00654FCF">
        <w:rPr>
          <w:color w:val="000000" w:themeColor="text1"/>
          <w:kern w:val="16"/>
        </w:rPr>
        <w:t xml:space="preserve">pole tip fields </w:t>
      </w:r>
      <w:r w:rsidR="00E669E6">
        <w:rPr>
          <w:color w:val="000000" w:themeColor="text1"/>
          <w:kern w:val="16"/>
        </w:rPr>
        <w:t>(product of G</w:t>
      </w:r>
      <w:r w:rsidR="00E669E6" w:rsidRPr="00E669E6">
        <w:rPr>
          <w:color w:val="000000" w:themeColor="text1"/>
          <w:kern w:val="16"/>
          <w:vertAlign w:val="subscript"/>
        </w:rPr>
        <w:t>normal</w:t>
      </w:r>
      <w:r w:rsidR="00E669E6">
        <w:rPr>
          <w:color w:val="000000" w:themeColor="text1"/>
          <w:kern w:val="16"/>
        </w:rPr>
        <w:t xml:space="preserve"> and R</w:t>
      </w:r>
      <w:r w:rsidR="00E669E6" w:rsidRPr="00E669E6">
        <w:rPr>
          <w:color w:val="000000" w:themeColor="text1"/>
          <w:kern w:val="16"/>
          <w:vertAlign w:val="subscript"/>
        </w:rPr>
        <w:t>bore</w:t>
      </w:r>
      <w:r w:rsidR="00E669E6">
        <w:rPr>
          <w:color w:val="000000" w:themeColor="text1"/>
          <w:kern w:val="16"/>
        </w:rPr>
        <w:t xml:space="preserve">) are in the range of </w:t>
      </w:r>
      <w:r w:rsidR="001E5DB1">
        <w:rPr>
          <w:color w:val="000000" w:themeColor="text1"/>
          <w:kern w:val="16"/>
        </w:rPr>
        <w:t>0.7-1.7 T for the electron quadrupoles</w:t>
      </w:r>
      <w:r w:rsidR="00E669E6">
        <w:rPr>
          <w:color w:val="000000" w:themeColor="text1"/>
          <w:kern w:val="16"/>
        </w:rPr>
        <w:t xml:space="preserve"> and 3.7-4.6 T for the ion quadrupoles. </w:t>
      </w:r>
      <w:r w:rsidR="001E5DB1">
        <w:rPr>
          <w:color w:val="000000" w:themeColor="text1"/>
          <w:kern w:val="16"/>
        </w:rPr>
        <w:t xml:space="preserve">These values </w:t>
      </w:r>
      <w:r w:rsidR="00654DAB">
        <w:rPr>
          <w:color w:val="000000" w:themeColor="text1"/>
          <w:kern w:val="16"/>
        </w:rPr>
        <w:t>are compatible</w:t>
      </w:r>
      <w:r w:rsidR="001E5DB1">
        <w:rPr>
          <w:color w:val="000000" w:themeColor="text1"/>
          <w:kern w:val="16"/>
        </w:rPr>
        <w:t xml:space="preserve"> with</w:t>
      </w:r>
      <w:r w:rsidR="00654DAB">
        <w:rPr>
          <w:color w:val="000000" w:themeColor="text1"/>
          <w:kern w:val="16"/>
        </w:rPr>
        <w:t xml:space="preserve"> NbTi technology, but the design is </w:t>
      </w:r>
      <w:r w:rsidR="00770900">
        <w:rPr>
          <w:color w:val="000000" w:themeColor="text1"/>
          <w:kern w:val="16"/>
        </w:rPr>
        <w:t xml:space="preserve">made </w:t>
      </w:r>
      <w:r w:rsidR="00654DAB">
        <w:rPr>
          <w:color w:val="000000" w:themeColor="text1"/>
          <w:kern w:val="16"/>
        </w:rPr>
        <w:t>challeng</w:t>
      </w:r>
      <w:r w:rsidR="00770900">
        <w:rPr>
          <w:color w:val="000000" w:themeColor="text1"/>
          <w:kern w:val="16"/>
        </w:rPr>
        <w:t>ing by</w:t>
      </w:r>
      <w:r w:rsidR="00654DAB">
        <w:rPr>
          <w:color w:val="000000" w:themeColor="text1"/>
          <w:kern w:val="16"/>
        </w:rPr>
        <w:t xml:space="preserve"> large forces and stored energy,</w:t>
      </w:r>
      <w:r w:rsidR="003B6F12">
        <w:rPr>
          <w:color w:val="000000" w:themeColor="text1"/>
          <w:kern w:val="16"/>
        </w:rPr>
        <w:t xml:space="preserve"> </w:t>
      </w:r>
      <w:r w:rsidR="00654DAB">
        <w:rPr>
          <w:color w:val="000000" w:themeColor="text1"/>
          <w:kern w:val="16"/>
        </w:rPr>
        <w:t xml:space="preserve">stringent </w:t>
      </w:r>
      <w:r w:rsidR="003B6F12">
        <w:rPr>
          <w:color w:val="000000" w:themeColor="text1"/>
          <w:kern w:val="16"/>
        </w:rPr>
        <w:t>field quality requirements</w:t>
      </w:r>
      <w:r w:rsidR="00654DAB">
        <w:rPr>
          <w:color w:val="000000" w:themeColor="text1"/>
          <w:kern w:val="16"/>
        </w:rPr>
        <w:t>,</w:t>
      </w:r>
      <w:r w:rsidR="007A3627">
        <w:rPr>
          <w:color w:val="000000" w:themeColor="text1"/>
          <w:kern w:val="16"/>
        </w:rPr>
        <w:t xml:space="preserve"> and space constraints limiting the optimization options</w:t>
      </w:r>
      <w:r w:rsidR="00654DAB">
        <w:rPr>
          <w:color w:val="000000" w:themeColor="text1"/>
          <w:kern w:val="16"/>
        </w:rPr>
        <w:t xml:space="preserve">. </w:t>
      </w:r>
    </w:p>
    <w:p w:rsidR="007A3627" w:rsidRDefault="00654DAB" w:rsidP="005731F3">
      <w:pPr>
        <w:pStyle w:val="BodyTextIndent"/>
        <w:rPr>
          <w:color w:val="000000" w:themeColor="text1"/>
          <w:kern w:val="16"/>
        </w:rPr>
      </w:pPr>
      <w:r>
        <w:rPr>
          <w:color w:val="000000" w:themeColor="text1"/>
          <w:kern w:val="16"/>
        </w:rPr>
        <w:t>With this in mind,</w:t>
      </w:r>
      <w:r w:rsidR="007A3627">
        <w:rPr>
          <w:color w:val="000000" w:themeColor="text1"/>
          <w:kern w:val="16"/>
        </w:rPr>
        <w:t xml:space="preserve"> </w:t>
      </w:r>
      <w:r w:rsidR="003B6F12">
        <w:rPr>
          <w:color w:val="000000" w:themeColor="text1"/>
          <w:kern w:val="16"/>
        </w:rPr>
        <w:t>we assume that all magnets will be</w:t>
      </w:r>
      <w:r w:rsidR="0006111D">
        <w:rPr>
          <w:color w:val="000000" w:themeColor="text1"/>
          <w:kern w:val="16"/>
        </w:rPr>
        <w:t xml:space="preserve"> based on keystone Ruther</w:t>
      </w:r>
      <w:r w:rsidR="003B6F12">
        <w:rPr>
          <w:color w:val="000000" w:themeColor="text1"/>
          <w:kern w:val="16"/>
        </w:rPr>
        <w:t>ford cables and</w:t>
      </w:r>
      <w:r w:rsidR="0006111D">
        <w:rPr>
          <w:color w:val="000000" w:themeColor="text1"/>
          <w:kern w:val="16"/>
        </w:rPr>
        <w:t xml:space="preserve"> </w:t>
      </w:r>
      <w:r w:rsidR="00313BC8">
        <w:rPr>
          <w:color w:val="000000" w:themeColor="text1"/>
          <w:kern w:val="16"/>
        </w:rPr>
        <w:t xml:space="preserve">a </w:t>
      </w:r>
      <w:r w:rsidR="0006111D">
        <w:rPr>
          <w:color w:val="000000" w:themeColor="text1"/>
          <w:kern w:val="16"/>
        </w:rPr>
        <w:t>cos2</w:t>
      </w:r>
      <w:r w:rsidR="0006111D" w:rsidRPr="0006111D">
        <w:rPr>
          <w:rFonts w:ascii="Symbol" w:hAnsi="Symbol"/>
          <w:color w:val="000000" w:themeColor="text1"/>
          <w:kern w:val="16"/>
        </w:rPr>
        <w:t></w:t>
      </w:r>
      <w:r w:rsidR="0006111D">
        <w:rPr>
          <w:color w:val="000000" w:themeColor="text1"/>
          <w:kern w:val="16"/>
        </w:rPr>
        <w:t xml:space="preserve"> coil layout surround</w:t>
      </w:r>
      <w:r>
        <w:rPr>
          <w:color w:val="000000" w:themeColor="text1"/>
          <w:kern w:val="16"/>
        </w:rPr>
        <w:t xml:space="preserve">ed by a </w:t>
      </w:r>
      <w:r w:rsidR="00770900">
        <w:rPr>
          <w:color w:val="000000" w:themeColor="text1"/>
          <w:kern w:val="16"/>
        </w:rPr>
        <w:t xml:space="preserve">collar </w:t>
      </w:r>
      <w:r>
        <w:rPr>
          <w:color w:val="000000" w:themeColor="text1"/>
          <w:kern w:val="16"/>
        </w:rPr>
        <w:t>structure</w:t>
      </w:r>
      <w:r w:rsidR="00770900">
        <w:rPr>
          <w:color w:val="000000" w:themeColor="text1"/>
          <w:kern w:val="16"/>
        </w:rPr>
        <w:t xml:space="preserve"> for mechanical support and pre-load</w:t>
      </w:r>
      <w:r w:rsidR="0006111D">
        <w:rPr>
          <w:color w:val="000000" w:themeColor="text1"/>
          <w:kern w:val="16"/>
        </w:rPr>
        <w:t>.</w:t>
      </w:r>
      <w:r w:rsidR="003B6F12">
        <w:rPr>
          <w:color w:val="000000" w:themeColor="text1"/>
          <w:kern w:val="16"/>
        </w:rPr>
        <w:t xml:space="preserve"> This well proven </w:t>
      </w:r>
      <w:r w:rsidR="00C92A5B">
        <w:rPr>
          <w:color w:val="000000" w:themeColor="text1"/>
          <w:kern w:val="16"/>
        </w:rPr>
        <w:t>design</w:t>
      </w:r>
      <w:r w:rsidR="003B6F12">
        <w:rPr>
          <w:color w:val="000000" w:themeColor="text1"/>
          <w:kern w:val="16"/>
        </w:rPr>
        <w:t xml:space="preserve"> </w:t>
      </w:r>
      <w:r w:rsidR="001D05AA">
        <w:rPr>
          <w:color w:val="000000" w:themeColor="text1"/>
          <w:kern w:val="16"/>
        </w:rPr>
        <w:t xml:space="preserve">approach </w:t>
      </w:r>
      <w:r w:rsidR="003B6F12">
        <w:rPr>
          <w:color w:val="000000" w:themeColor="text1"/>
          <w:kern w:val="16"/>
        </w:rPr>
        <w:t xml:space="preserve">provides </w:t>
      </w:r>
      <w:r w:rsidR="00313BC8">
        <w:rPr>
          <w:color w:val="000000" w:themeColor="text1"/>
          <w:kern w:val="16"/>
        </w:rPr>
        <w:t xml:space="preserve">excellent </w:t>
      </w:r>
      <w:r w:rsidR="003B6F12">
        <w:rPr>
          <w:color w:val="000000" w:themeColor="text1"/>
          <w:kern w:val="16"/>
        </w:rPr>
        <w:t>magnetic efficiency, stable opera</w:t>
      </w:r>
      <w:r w:rsidR="00313BC8">
        <w:rPr>
          <w:color w:val="000000" w:themeColor="text1"/>
          <w:kern w:val="16"/>
        </w:rPr>
        <w:t>tion to a high fraction of the conductor limit</w:t>
      </w:r>
      <w:r w:rsidR="003B6F12">
        <w:rPr>
          <w:color w:val="000000" w:themeColor="text1"/>
          <w:kern w:val="16"/>
        </w:rPr>
        <w:t xml:space="preserve">, tight geometric tolerances, control of large magnetic forces and reliable insulation against </w:t>
      </w:r>
      <w:r w:rsidR="00313BC8">
        <w:rPr>
          <w:color w:val="000000" w:themeColor="text1"/>
          <w:kern w:val="16"/>
        </w:rPr>
        <w:t xml:space="preserve">the </w:t>
      </w:r>
      <w:r w:rsidR="003B6F12">
        <w:rPr>
          <w:color w:val="000000" w:themeColor="text1"/>
          <w:kern w:val="16"/>
        </w:rPr>
        <w:t>internal voltages generated during a quench.</w:t>
      </w:r>
      <w:r w:rsidR="00632543" w:rsidRPr="00632543">
        <w:t xml:space="preserve"> </w:t>
      </w:r>
      <w:r w:rsidR="00B846B8">
        <w:t xml:space="preserve">The field quality analysis </w:t>
      </w:r>
      <w:r w:rsidR="001D05AA">
        <w:t xml:space="preserve">that follows </w:t>
      </w:r>
      <w:r w:rsidR="00C92A5B">
        <w:t>is based on thi</w:t>
      </w:r>
      <w:r w:rsidR="000D4B2E">
        <w:t>s assumption</w:t>
      </w:r>
      <w:r w:rsidR="00B846B8">
        <w:t xml:space="preserve"> </w:t>
      </w:r>
      <w:r w:rsidR="001D05AA">
        <w:t>and takes</w:t>
      </w:r>
      <w:r w:rsidR="00C92A5B">
        <w:t xml:space="preserve"> advantage of</w:t>
      </w:r>
      <w:r>
        <w:t xml:space="preserve"> </w:t>
      </w:r>
      <w:r w:rsidR="00C92A5B">
        <w:t xml:space="preserve">past </w:t>
      </w:r>
      <w:r w:rsidR="00917295">
        <w:rPr>
          <w:color w:val="000000" w:themeColor="text1"/>
          <w:kern w:val="16"/>
        </w:rPr>
        <w:t>experience in</w:t>
      </w:r>
      <w:r w:rsidR="00632543" w:rsidRPr="00632543">
        <w:rPr>
          <w:color w:val="000000" w:themeColor="text1"/>
          <w:kern w:val="16"/>
        </w:rPr>
        <w:t xml:space="preserve"> </w:t>
      </w:r>
      <w:r w:rsidR="00B102A4">
        <w:rPr>
          <w:color w:val="000000" w:themeColor="text1"/>
          <w:kern w:val="16"/>
        </w:rPr>
        <w:t>con</w:t>
      </w:r>
      <w:r>
        <w:rPr>
          <w:color w:val="000000" w:themeColor="text1"/>
          <w:kern w:val="16"/>
        </w:rPr>
        <w:t>ductor design</w:t>
      </w:r>
      <w:r w:rsidR="00B102A4">
        <w:rPr>
          <w:color w:val="000000" w:themeColor="text1"/>
          <w:kern w:val="16"/>
        </w:rPr>
        <w:t xml:space="preserve">, </w:t>
      </w:r>
      <w:r>
        <w:rPr>
          <w:color w:val="000000" w:themeColor="text1"/>
          <w:kern w:val="16"/>
        </w:rPr>
        <w:t>field quality optimization</w:t>
      </w:r>
      <w:r w:rsidR="00891FDD">
        <w:rPr>
          <w:color w:val="000000" w:themeColor="text1"/>
          <w:kern w:val="16"/>
        </w:rPr>
        <w:t>,</w:t>
      </w:r>
      <w:r w:rsidR="00917295">
        <w:rPr>
          <w:color w:val="000000" w:themeColor="text1"/>
          <w:kern w:val="16"/>
        </w:rPr>
        <w:t xml:space="preserve"> </w:t>
      </w:r>
      <w:r w:rsidR="00632543" w:rsidRPr="00632543">
        <w:rPr>
          <w:color w:val="000000" w:themeColor="text1"/>
          <w:kern w:val="16"/>
        </w:rPr>
        <w:t>material properties and positioning toler</w:t>
      </w:r>
      <w:r w:rsidR="001D05AA">
        <w:rPr>
          <w:color w:val="000000" w:themeColor="text1"/>
          <w:kern w:val="16"/>
        </w:rPr>
        <w:t>ances</w:t>
      </w:r>
      <w:r w:rsidR="000D4B2E">
        <w:rPr>
          <w:color w:val="000000" w:themeColor="text1"/>
          <w:kern w:val="16"/>
        </w:rPr>
        <w:t>.</w:t>
      </w:r>
    </w:p>
    <w:p w:rsidR="004F48DD" w:rsidRPr="007D2718" w:rsidRDefault="00CF4273" w:rsidP="004F48DD">
      <w:pPr>
        <w:pStyle w:val="JSectionHeading"/>
        <w:rPr>
          <w:rFonts w:cs="Times New Roman"/>
        </w:rPr>
      </w:pPr>
      <w:r>
        <w:rPr>
          <w:rFonts w:cs="Times New Roman"/>
        </w:rPr>
        <w:t>FIELD QUALITY ANALYSIS</w:t>
      </w:r>
    </w:p>
    <w:p w:rsidR="00CF4273" w:rsidRDefault="00CF4273" w:rsidP="00CF4273">
      <w:pPr>
        <w:pStyle w:val="BodyTextIndent"/>
      </w:pPr>
      <w:r>
        <w:t>The quadrupole field quality is represented in terms of harmonic coefficients defined by the series expansion:</w:t>
      </w:r>
    </w:p>
    <w:p w:rsidR="00CF4273" w:rsidRDefault="00CF4273" w:rsidP="00CF4273">
      <w:pPr>
        <w:pStyle w:val="BodyTextIndent"/>
        <w:rPr>
          <w:sz w:val="8"/>
        </w:rPr>
      </w:pPr>
    </w:p>
    <w:p w:rsidR="00CF4273" w:rsidRDefault="002F4EC2" w:rsidP="00CF4273">
      <w:pPr>
        <w:pStyle w:val="BodyTextIndent"/>
        <w:jc w:val="center"/>
      </w:pPr>
      <w:r>
        <w:rPr>
          <w:position w:val="-32"/>
        </w:rPr>
        <w:object w:dxaOrig="351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30.05pt" o:ole="">
            <v:imagedata r:id="rId8" o:title=""/>
          </v:shape>
          <o:OLEObject Type="Embed" ProgID="Equation.3" ShapeID="_x0000_i1025" DrawAspect="Content" ObjectID="_1628512378" r:id="rId9"/>
        </w:object>
      </w:r>
    </w:p>
    <w:p w:rsidR="00CF4273" w:rsidRDefault="00CF4273" w:rsidP="00CF4273">
      <w:pPr>
        <w:pStyle w:val="BodyTextIndent"/>
        <w:rPr>
          <w:sz w:val="8"/>
        </w:rPr>
      </w:pPr>
    </w:p>
    <w:p w:rsidR="00654DAB" w:rsidRDefault="00CF4273" w:rsidP="00654DAB">
      <w:pPr>
        <w:pStyle w:val="BodyTextIndent"/>
        <w:ind w:firstLine="0"/>
      </w:pPr>
      <w:r>
        <w:t xml:space="preserve">where </w:t>
      </w:r>
      <w:r>
        <w:rPr>
          <w:i/>
          <w:iCs/>
          <w:sz w:val="22"/>
        </w:rPr>
        <w:t>B</w:t>
      </w:r>
      <w:r>
        <w:rPr>
          <w:rFonts w:ascii="Times" w:hAnsi="Times"/>
          <w:i/>
          <w:iCs/>
          <w:sz w:val="22"/>
          <w:vertAlign w:val="subscript"/>
        </w:rPr>
        <w:t>x</w:t>
      </w:r>
      <w:r>
        <w:t xml:space="preserve"> and </w:t>
      </w:r>
      <w:r>
        <w:rPr>
          <w:i/>
          <w:iCs/>
          <w:sz w:val="22"/>
        </w:rPr>
        <w:t>B</w:t>
      </w:r>
      <w:r>
        <w:rPr>
          <w:rFonts w:ascii="Times" w:hAnsi="Times"/>
          <w:i/>
          <w:iCs/>
          <w:sz w:val="22"/>
          <w:vertAlign w:val="subscript"/>
        </w:rPr>
        <w:t>y</w:t>
      </w:r>
      <w:r>
        <w:t xml:space="preserve"> are the transverse field components, </w:t>
      </w:r>
      <w:r w:rsidRPr="00DA489D">
        <w:rPr>
          <w:i/>
          <w:iCs/>
        </w:rPr>
        <w:t>B</w:t>
      </w:r>
      <w:r w:rsidRPr="00DA489D">
        <w:rPr>
          <w:iCs/>
          <w:vertAlign w:val="subscript"/>
        </w:rPr>
        <w:t>2</w:t>
      </w:r>
      <w:r w:rsidRPr="00DA489D">
        <w:t xml:space="preserve"> </w:t>
      </w:r>
      <w:r>
        <w:t>is the quadrupole field</w:t>
      </w:r>
      <w:r w:rsidR="005820D8">
        <w:t xml:space="preserve"> at </w:t>
      </w:r>
      <w:r w:rsidR="005820D8" w:rsidRPr="00DA489D">
        <w:rPr>
          <w:i/>
          <w:iCs/>
        </w:rPr>
        <w:t>r</w:t>
      </w:r>
      <w:r w:rsidR="005820D8" w:rsidRPr="00DA489D">
        <w:rPr>
          <w:iCs/>
          <w:vertAlign w:val="subscript"/>
        </w:rPr>
        <w:t>0</w:t>
      </w:r>
      <w:r>
        <w:t xml:space="preserve"> and </w:t>
      </w:r>
      <w:r>
        <w:rPr>
          <w:position w:val="-12"/>
        </w:rPr>
        <w:object w:dxaOrig="1240" w:dyaOrig="360">
          <v:shape id="_x0000_i1026" type="#_x0000_t75" style="width:57pt;height:16.8pt" o:ole="">
            <v:imagedata r:id="rId10" o:title=""/>
          </v:shape>
          <o:OLEObject Type="Embed" ProgID="Equation.3" ShapeID="_x0000_i1026" DrawAspect="Content" ObjectID="_1628512379" r:id="rId11"/>
        </w:object>
      </w:r>
      <w:r>
        <w:t xml:space="preserve"> are the multipole coefficients, expressed in 10</w:t>
      </w:r>
      <w:r>
        <w:rPr>
          <w:rFonts w:ascii="Times" w:hAnsi="Times"/>
          <w:vertAlign w:val="superscript"/>
        </w:rPr>
        <w:t>-4</w:t>
      </w:r>
      <w:r>
        <w:t xml:space="preserve"> “units” of the quadrupole component</w:t>
      </w:r>
      <w:r w:rsidR="00714AA4">
        <w:t xml:space="preserve"> </w:t>
      </w:r>
      <w:r w:rsidR="00714AA4" w:rsidRPr="00714AA4">
        <w:rPr>
          <w:i/>
        </w:rPr>
        <w:t>B</w:t>
      </w:r>
      <w:r w:rsidR="00714AA4" w:rsidRPr="00714AA4">
        <w:rPr>
          <w:i/>
          <w:vertAlign w:val="subscript"/>
        </w:rPr>
        <w:t>2</w:t>
      </w:r>
      <w:r>
        <w:t xml:space="preserve">. </w:t>
      </w:r>
      <w:r w:rsidR="00043383">
        <w:t>Only the harmonic components b</w:t>
      </w:r>
      <w:r w:rsidR="00714AA4">
        <w:rPr>
          <w:i/>
          <w:vertAlign w:val="subscript"/>
        </w:rPr>
        <w:t>4n+2</w:t>
      </w:r>
      <w:r w:rsidR="00043383">
        <w:t xml:space="preserve"> are allowed by the quadrupole symmetry. The other harmonics appear due to departures from quadrupole symmetry originating from either the magnet design or fabrication tolerances. </w:t>
      </w:r>
      <w:r>
        <w:t xml:space="preserve">For 3D analysis, the field components are replaced by </w:t>
      </w:r>
      <w:r w:rsidR="00654DAB">
        <w:t xml:space="preserve">integrals along the z-axis. </w:t>
      </w:r>
    </w:p>
    <w:p w:rsidR="00CF4273" w:rsidRDefault="00CF4273" w:rsidP="001E5DB1">
      <w:pPr>
        <w:pStyle w:val="BodyTextIndent"/>
      </w:pPr>
      <w:r>
        <w:t>The</w:t>
      </w:r>
      <w:r w:rsidR="00646AB1">
        <w:t xml:space="preserve"> harmonics are presented at a</w:t>
      </w:r>
      <w:r>
        <w:t xml:space="preserve"> reference radius </w:t>
      </w:r>
      <w:r w:rsidRPr="00DA489D">
        <w:rPr>
          <w:i/>
          <w:iCs/>
        </w:rPr>
        <w:t>r</w:t>
      </w:r>
      <w:r w:rsidRPr="00DA489D">
        <w:rPr>
          <w:iCs/>
          <w:vertAlign w:val="subscript"/>
        </w:rPr>
        <w:t>0</w:t>
      </w:r>
      <w:r w:rsidR="00646AB1">
        <w:t xml:space="preserve"> of</w:t>
      </w:r>
      <w:r>
        <w:t xml:space="preserve"> </w:t>
      </w:r>
      <w:r w:rsidR="00646AB1">
        <w:t>about</w:t>
      </w:r>
      <w:r>
        <w:t xml:space="preserve"> 2/3 of the coil radi</w:t>
      </w:r>
      <w:r w:rsidR="00646AB1">
        <w:t>us, a useful reference in accelerator magnets</w:t>
      </w:r>
      <w:r w:rsidR="0091081D">
        <w:t>. Howev</w:t>
      </w:r>
      <w:r w:rsidR="00646AB1">
        <w:t xml:space="preserve">er, </w:t>
      </w:r>
      <w:r w:rsidR="002F4EC2">
        <w:t xml:space="preserve">in cases where </w:t>
      </w:r>
      <w:r w:rsidR="0091081D">
        <w:t xml:space="preserve">the magnet aperture is </w:t>
      </w:r>
      <w:r w:rsidR="00DD49EF">
        <w:t>driven by ac</w:t>
      </w:r>
      <w:r w:rsidR="00DA489D">
        <w:t xml:space="preserve">ceptance requirements, the “good </w:t>
      </w:r>
      <w:r w:rsidR="00DD49EF">
        <w:t>field</w:t>
      </w:r>
      <w:r w:rsidR="00DA489D">
        <w:t>”</w:t>
      </w:r>
      <w:r w:rsidR="00DD49EF">
        <w:t xml:space="preserve"> radius </w:t>
      </w:r>
      <w:r w:rsidR="00DA489D">
        <w:t>(Table 1) may be</w:t>
      </w:r>
      <w:r w:rsidR="00DD49EF">
        <w:t xml:space="preserve"> </w:t>
      </w:r>
      <w:r w:rsidR="00DD49EF">
        <w:lastRenderedPageBreak/>
        <w:t>signifi</w:t>
      </w:r>
      <w:r w:rsidR="00DA489D">
        <w:t xml:space="preserve">cantly smaller, </w:t>
      </w:r>
      <w:r w:rsidR="00DD49EF">
        <w:t xml:space="preserve">effectively reducing the </w:t>
      </w:r>
      <w:r w:rsidR="00043383">
        <w:t xml:space="preserve">impact </w:t>
      </w:r>
      <w:r w:rsidR="001D05AA">
        <w:t xml:space="preserve">of field errors </w:t>
      </w:r>
      <w:r w:rsidR="00DD49EF">
        <w:t>on the beam dynamics</w:t>
      </w:r>
      <w:r w:rsidR="00C158F0">
        <w:t>, in particular for the higher order harmonics</w:t>
      </w:r>
      <w:r w:rsidR="00DD49EF">
        <w:t xml:space="preserve">.  </w:t>
      </w:r>
    </w:p>
    <w:p w:rsidR="001E5DB1" w:rsidRDefault="001E5DB1" w:rsidP="001E5DB1">
      <w:pPr>
        <w:pStyle w:val="BodyTextIndent"/>
        <w:rPr>
          <w:kern w:val="16"/>
        </w:rPr>
      </w:pPr>
      <w:r>
        <w:rPr>
          <w:kern w:val="16"/>
        </w:rPr>
        <w:t xml:space="preserve">In order to evaluate the </w:t>
      </w:r>
      <w:r w:rsidR="00755B8C">
        <w:rPr>
          <w:kern w:val="16"/>
        </w:rPr>
        <w:t>effect of individual</w:t>
      </w:r>
      <w:r>
        <w:rPr>
          <w:kern w:val="16"/>
        </w:rPr>
        <w:t xml:space="preserve"> error sources on the</w:t>
      </w:r>
      <w:r w:rsidR="00CF196C">
        <w:rPr>
          <w:kern w:val="16"/>
        </w:rPr>
        <w:t xml:space="preserve"> field quality, representative </w:t>
      </w:r>
      <w:r>
        <w:rPr>
          <w:kern w:val="16"/>
        </w:rPr>
        <w:t xml:space="preserve">magnet designs were developed which meet the performance requirements and geometric constraints. Table 2 shows the main </w:t>
      </w:r>
      <w:r w:rsidR="0062323A">
        <w:rPr>
          <w:kern w:val="16"/>
        </w:rPr>
        <w:t>geometric</w:t>
      </w:r>
      <w:r>
        <w:rPr>
          <w:kern w:val="16"/>
        </w:rPr>
        <w:t xml:space="preserve"> and operational parameters for the electron quadrupoles </w:t>
      </w:r>
      <w:r w:rsidR="00CF196C">
        <w:rPr>
          <w:kern w:val="16"/>
        </w:rPr>
        <w:t>and selected</w:t>
      </w:r>
      <w:r>
        <w:rPr>
          <w:kern w:val="16"/>
        </w:rPr>
        <w:t xml:space="preserve"> ion quadrupoles.</w:t>
      </w:r>
      <w:r w:rsidR="0062323A">
        <w:rPr>
          <w:kern w:val="16"/>
        </w:rPr>
        <w:t xml:space="preserve"> The calculations were performed using ROXIE [11].</w:t>
      </w:r>
    </w:p>
    <w:p w:rsidR="00C158F0" w:rsidRDefault="001E5DB1" w:rsidP="001E5DB1">
      <w:pPr>
        <w:pStyle w:val="BodyTextIndent"/>
        <w:rPr>
          <w:kern w:val="16"/>
        </w:rPr>
      </w:pPr>
      <w:r>
        <w:rPr>
          <w:kern w:val="16"/>
        </w:rPr>
        <w:t xml:space="preserve">The </w:t>
      </w:r>
      <w:r w:rsidR="00387BAC">
        <w:rPr>
          <w:kern w:val="16"/>
        </w:rPr>
        <w:t xml:space="preserve">conductor </w:t>
      </w:r>
      <w:r>
        <w:rPr>
          <w:kern w:val="16"/>
        </w:rPr>
        <w:t xml:space="preserve">parameters </w:t>
      </w:r>
      <w:r w:rsidR="0062323A">
        <w:rPr>
          <w:kern w:val="16"/>
        </w:rPr>
        <w:t>were</w:t>
      </w:r>
      <w:r>
        <w:rPr>
          <w:kern w:val="16"/>
        </w:rPr>
        <w:t xml:space="preserve"> </w:t>
      </w:r>
      <w:r w:rsidR="00CF196C">
        <w:rPr>
          <w:kern w:val="16"/>
        </w:rPr>
        <w:t>derived</w:t>
      </w:r>
      <w:r>
        <w:rPr>
          <w:kern w:val="16"/>
        </w:rPr>
        <w:t xml:space="preserve"> from previous projects</w:t>
      </w:r>
      <w:r w:rsidR="002F4EC2">
        <w:rPr>
          <w:kern w:val="16"/>
        </w:rPr>
        <w:t>:</w:t>
      </w:r>
      <w:r>
        <w:rPr>
          <w:kern w:val="16"/>
        </w:rPr>
        <w:t xml:space="preserve"> th</w:t>
      </w:r>
      <w:r w:rsidR="002F4EC2">
        <w:rPr>
          <w:kern w:val="16"/>
        </w:rPr>
        <w:t xml:space="preserve">e electron quadrupole </w:t>
      </w:r>
      <w:r w:rsidR="00387BAC">
        <w:rPr>
          <w:kern w:val="16"/>
        </w:rPr>
        <w:t xml:space="preserve">cable </w:t>
      </w:r>
      <w:r>
        <w:rPr>
          <w:kern w:val="16"/>
        </w:rPr>
        <w:t xml:space="preserve">is based on the LHC </w:t>
      </w:r>
      <w:r w:rsidR="00CF196C">
        <w:rPr>
          <w:kern w:val="16"/>
        </w:rPr>
        <w:t>matching quadrupole (</w:t>
      </w:r>
      <w:r>
        <w:rPr>
          <w:kern w:val="16"/>
        </w:rPr>
        <w:t>MQY</w:t>
      </w:r>
      <w:r w:rsidR="00CF196C">
        <w:rPr>
          <w:kern w:val="16"/>
        </w:rPr>
        <w:t>)</w:t>
      </w:r>
      <w:r>
        <w:rPr>
          <w:kern w:val="16"/>
        </w:rPr>
        <w:t xml:space="preserve"> [12] and the ion quadrupole on LHC main dipole (MB) [13]. </w:t>
      </w:r>
      <w:r w:rsidR="00387BAC">
        <w:rPr>
          <w:kern w:val="16"/>
        </w:rPr>
        <w:t>In both cases, t</w:t>
      </w:r>
      <w:r>
        <w:rPr>
          <w:kern w:val="16"/>
        </w:rPr>
        <w:t>he keystone</w:t>
      </w:r>
      <w:r w:rsidR="00FF17A0">
        <w:rPr>
          <w:kern w:val="16"/>
        </w:rPr>
        <w:t xml:space="preserve"> angle is </w:t>
      </w:r>
      <w:r w:rsidR="00714AA4">
        <w:rPr>
          <w:kern w:val="16"/>
        </w:rPr>
        <w:t>adjusted for the</w:t>
      </w:r>
      <w:r>
        <w:rPr>
          <w:kern w:val="16"/>
        </w:rPr>
        <w:t xml:space="preserve"> </w:t>
      </w:r>
      <w:r w:rsidR="00714AA4">
        <w:rPr>
          <w:kern w:val="16"/>
        </w:rPr>
        <w:t xml:space="preserve">JLEIC </w:t>
      </w:r>
      <w:r>
        <w:rPr>
          <w:kern w:val="16"/>
        </w:rPr>
        <w:t>aperture</w:t>
      </w:r>
      <w:r w:rsidR="00714AA4">
        <w:rPr>
          <w:kern w:val="16"/>
        </w:rPr>
        <w:t xml:space="preserve"> range</w:t>
      </w:r>
      <w:r>
        <w:rPr>
          <w:kern w:val="16"/>
        </w:rPr>
        <w:t>.</w:t>
      </w:r>
    </w:p>
    <w:p w:rsidR="002F4EC2" w:rsidRDefault="001F4B49" w:rsidP="001F4B49">
      <w:pPr>
        <w:pStyle w:val="BodyTextIndent"/>
        <w:rPr>
          <w:kern w:val="16"/>
        </w:rPr>
      </w:pPr>
      <w:r>
        <w:rPr>
          <w:color w:val="000000" w:themeColor="text1"/>
          <w:kern w:val="16"/>
        </w:rPr>
        <w:t xml:space="preserve">The coil inner radius is assumed to be 8 mm larger than the specified clear bore to provide </w:t>
      </w:r>
      <w:r w:rsidR="00646AB1">
        <w:rPr>
          <w:color w:val="000000" w:themeColor="text1"/>
          <w:kern w:val="16"/>
        </w:rPr>
        <w:t>space</w:t>
      </w:r>
      <w:r>
        <w:rPr>
          <w:color w:val="000000" w:themeColor="text1"/>
          <w:kern w:val="16"/>
        </w:rPr>
        <w:t xml:space="preserve"> for an inner vessel and vacuum components. </w:t>
      </w:r>
      <w:r>
        <w:rPr>
          <w:kern w:val="16"/>
        </w:rPr>
        <w:t>Radial space between coil and yoke is provided to house the collars.</w:t>
      </w:r>
    </w:p>
    <w:p w:rsidR="002F4EC2" w:rsidRDefault="002F4EC2" w:rsidP="002F4EC2">
      <w:pPr>
        <w:pStyle w:val="BodyTextIndent"/>
        <w:rPr>
          <w:color w:val="000000" w:themeColor="text1"/>
          <w:kern w:val="16"/>
        </w:rPr>
      </w:pPr>
      <w:r>
        <w:rPr>
          <w:color w:val="000000" w:themeColor="text1"/>
          <w:kern w:val="16"/>
        </w:rPr>
        <w:t>A single coil design is assumed for the electron IR quads to decrease cost and develop</w:t>
      </w:r>
      <w:r w:rsidR="0063542E">
        <w:rPr>
          <w:color w:val="000000" w:themeColor="text1"/>
          <w:kern w:val="16"/>
        </w:rPr>
        <w:t>ment time [10]. The yoke size can be</w:t>
      </w:r>
      <w:r>
        <w:rPr>
          <w:color w:val="000000" w:themeColor="text1"/>
          <w:kern w:val="16"/>
        </w:rPr>
        <w:t xml:space="preserve"> adjusted to the available space (Table 1).</w:t>
      </w:r>
    </w:p>
    <w:p w:rsidR="001F4B49" w:rsidRPr="00C46982" w:rsidRDefault="001F4B49" w:rsidP="001F4B49">
      <w:pPr>
        <w:pStyle w:val="Caption"/>
        <w:jc w:val="both"/>
        <w:rPr>
          <w:b/>
        </w:rPr>
      </w:pPr>
      <w:r>
        <w:t>Table 2</w:t>
      </w:r>
      <w:r w:rsidRPr="007D2718">
        <w:t xml:space="preserve">: </w:t>
      </w:r>
      <w:r>
        <w:t>Design and performance parameters used for field quality analysis purposes in selected IR quadrupoles.</w:t>
      </w:r>
    </w:p>
    <w:tbl>
      <w:tblPr>
        <w:tblW w:w="0" w:type="auto"/>
        <w:jc w:val="center"/>
        <w:tblBorders>
          <w:top w:val="single" w:sz="12" w:space="0" w:color="auto"/>
          <w:bottom w:val="single" w:sz="12" w:space="0" w:color="auto"/>
          <w:insideH w:val="single" w:sz="4" w:space="0" w:color="auto"/>
        </w:tblBorders>
        <w:tblCellMar>
          <w:left w:w="58" w:type="dxa"/>
          <w:right w:w="58" w:type="dxa"/>
        </w:tblCellMar>
        <w:tblLook w:val="0000" w:firstRow="0" w:lastRow="0" w:firstColumn="0" w:lastColumn="0" w:noHBand="0" w:noVBand="0"/>
      </w:tblPr>
      <w:tblGrid>
        <w:gridCol w:w="1141"/>
        <w:gridCol w:w="670"/>
        <w:gridCol w:w="716"/>
        <w:gridCol w:w="783"/>
        <w:gridCol w:w="795"/>
        <w:gridCol w:w="683"/>
      </w:tblGrid>
      <w:tr w:rsidR="001F4B49" w:rsidRPr="007D2718" w:rsidTr="00EC3685">
        <w:trPr>
          <w:jc w:val="center"/>
        </w:trPr>
        <w:tc>
          <w:tcPr>
            <w:tcW w:w="1141" w:type="dxa"/>
            <w:tcBorders>
              <w:top w:val="single" w:sz="8" w:space="0" w:color="auto"/>
              <w:bottom w:val="single" w:sz="4" w:space="0" w:color="auto"/>
            </w:tcBorders>
          </w:tcPr>
          <w:p w:rsidR="001F4B49" w:rsidRPr="007D2718" w:rsidRDefault="001F4B49" w:rsidP="004000E8">
            <w:pPr>
              <w:pStyle w:val="TableCaption"/>
              <w:keepNext/>
              <w:spacing w:before="20" w:after="20"/>
              <w:jc w:val="left"/>
              <w:rPr>
                <w:b/>
                <w:bCs/>
                <w:kern w:val="16"/>
                <w:szCs w:val="18"/>
              </w:rPr>
            </w:pPr>
            <w:r>
              <w:rPr>
                <w:b/>
                <w:bCs/>
                <w:kern w:val="16"/>
                <w:szCs w:val="18"/>
              </w:rPr>
              <w:t>Parameter</w:t>
            </w:r>
          </w:p>
        </w:tc>
        <w:tc>
          <w:tcPr>
            <w:tcW w:w="670" w:type="dxa"/>
            <w:tcBorders>
              <w:top w:val="single" w:sz="8" w:space="0" w:color="auto"/>
              <w:bottom w:val="single" w:sz="4" w:space="0" w:color="auto"/>
            </w:tcBorders>
          </w:tcPr>
          <w:p w:rsidR="001F4B49" w:rsidRPr="007D2718" w:rsidRDefault="001F4B49" w:rsidP="004000E8">
            <w:pPr>
              <w:pStyle w:val="TableCaption"/>
              <w:keepNext/>
              <w:spacing w:before="20" w:after="20"/>
              <w:rPr>
                <w:b/>
                <w:bCs/>
                <w:kern w:val="16"/>
                <w:szCs w:val="18"/>
              </w:rPr>
            </w:pPr>
            <w:r>
              <w:rPr>
                <w:b/>
                <w:bCs/>
                <w:kern w:val="16"/>
                <w:szCs w:val="18"/>
              </w:rPr>
              <w:t>Unit</w:t>
            </w:r>
          </w:p>
        </w:tc>
        <w:tc>
          <w:tcPr>
            <w:tcW w:w="716" w:type="dxa"/>
            <w:tcBorders>
              <w:top w:val="single" w:sz="8" w:space="0" w:color="auto"/>
              <w:bottom w:val="single" w:sz="4" w:space="0" w:color="auto"/>
            </w:tcBorders>
          </w:tcPr>
          <w:p w:rsidR="001F4B49" w:rsidRDefault="001F4B49" w:rsidP="004000E8">
            <w:pPr>
              <w:pStyle w:val="TableCaption"/>
              <w:keepNext/>
              <w:spacing w:before="20" w:after="20"/>
              <w:rPr>
                <w:b/>
                <w:bCs/>
                <w:kern w:val="16"/>
                <w:szCs w:val="18"/>
              </w:rPr>
            </w:pPr>
            <w:r>
              <w:rPr>
                <w:b/>
                <w:bCs/>
                <w:kern w:val="16"/>
                <w:szCs w:val="18"/>
              </w:rPr>
              <w:t>eQ</w:t>
            </w:r>
          </w:p>
        </w:tc>
        <w:tc>
          <w:tcPr>
            <w:tcW w:w="783" w:type="dxa"/>
            <w:tcBorders>
              <w:top w:val="single" w:sz="8" w:space="0" w:color="auto"/>
              <w:bottom w:val="single" w:sz="4" w:space="0" w:color="auto"/>
            </w:tcBorders>
          </w:tcPr>
          <w:p w:rsidR="001F4B49" w:rsidRDefault="001F4B49" w:rsidP="004000E8">
            <w:pPr>
              <w:pStyle w:val="TableCaption"/>
              <w:keepNext/>
              <w:spacing w:before="20" w:after="20"/>
              <w:rPr>
                <w:b/>
                <w:bCs/>
                <w:kern w:val="16"/>
                <w:szCs w:val="18"/>
              </w:rPr>
            </w:pPr>
            <w:r>
              <w:rPr>
                <w:b/>
                <w:bCs/>
                <w:kern w:val="16"/>
                <w:szCs w:val="18"/>
              </w:rPr>
              <w:t>iQDS1a</w:t>
            </w:r>
          </w:p>
        </w:tc>
        <w:tc>
          <w:tcPr>
            <w:tcW w:w="795" w:type="dxa"/>
            <w:tcBorders>
              <w:top w:val="single" w:sz="8" w:space="0" w:color="auto"/>
              <w:bottom w:val="single" w:sz="4" w:space="0" w:color="auto"/>
            </w:tcBorders>
          </w:tcPr>
          <w:p w:rsidR="001F4B49" w:rsidRPr="007D2718" w:rsidRDefault="001F4B49" w:rsidP="004000E8">
            <w:pPr>
              <w:pStyle w:val="TableCaption"/>
              <w:keepNext/>
              <w:spacing w:before="20" w:after="20"/>
              <w:rPr>
                <w:b/>
                <w:bCs/>
                <w:kern w:val="16"/>
                <w:szCs w:val="18"/>
              </w:rPr>
            </w:pPr>
            <w:r>
              <w:rPr>
                <w:b/>
                <w:bCs/>
                <w:kern w:val="16"/>
                <w:szCs w:val="18"/>
              </w:rPr>
              <w:t>iQDS1b</w:t>
            </w:r>
          </w:p>
        </w:tc>
        <w:tc>
          <w:tcPr>
            <w:tcW w:w="683" w:type="dxa"/>
            <w:tcBorders>
              <w:top w:val="single" w:sz="8" w:space="0" w:color="auto"/>
              <w:bottom w:val="single" w:sz="4" w:space="0" w:color="auto"/>
            </w:tcBorders>
          </w:tcPr>
          <w:p w:rsidR="001F4B49" w:rsidRPr="007D2718" w:rsidRDefault="001F4B49" w:rsidP="004000E8">
            <w:pPr>
              <w:pStyle w:val="TableCaption"/>
              <w:keepNext/>
              <w:spacing w:before="20" w:after="20"/>
              <w:rPr>
                <w:b/>
                <w:bCs/>
                <w:kern w:val="16"/>
                <w:szCs w:val="18"/>
              </w:rPr>
            </w:pPr>
            <w:r>
              <w:rPr>
                <w:b/>
                <w:bCs/>
                <w:kern w:val="16"/>
                <w:szCs w:val="18"/>
              </w:rPr>
              <w:t>iQDS2</w:t>
            </w:r>
            <w:r w:rsidRPr="007D2718">
              <w:rPr>
                <w:b/>
                <w:bCs/>
                <w:kern w:val="16"/>
                <w:szCs w:val="18"/>
              </w:rPr>
              <w:t xml:space="preserve"> </w:t>
            </w:r>
          </w:p>
        </w:tc>
      </w:tr>
      <w:tr w:rsidR="001F4B49" w:rsidRPr="007D2718" w:rsidTr="00EC3685">
        <w:trPr>
          <w:jc w:val="center"/>
        </w:trPr>
        <w:tc>
          <w:tcPr>
            <w:tcW w:w="1141" w:type="dxa"/>
            <w:tcBorders>
              <w:top w:val="single" w:sz="4" w:space="0" w:color="auto"/>
              <w:bottom w:val="nil"/>
            </w:tcBorders>
          </w:tcPr>
          <w:p w:rsidR="001F4B49" w:rsidRPr="007D2718" w:rsidRDefault="001F4B49" w:rsidP="004000E8">
            <w:pPr>
              <w:pStyle w:val="TableCaption"/>
              <w:keepNext/>
              <w:spacing w:before="20" w:after="20"/>
              <w:jc w:val="left"/>
              <w:rPr>
                <w:kern w:val="16"/>
                <w:szCs w:val="18"/>
              </w:rPr>
            </w:pPr>
            <w:r w:rsidRPr="00071B49">
              <w:t>Strand</w:t>
            </w:r>
            <w:r>
              <w:t> </w:t>
            </w:r>
            <w:r w:rsidRPr="00071B49">
              <w:t>diam</w:t>
            </w:r>
            <w:r>
              <w:rPr>
                <w:kern w:val="16"/>
                <w:szCs w:val="18"/>
              </w:rPr>
              <w:t>.</w:t>
            </w:r>
          </w:p>
        </w:tc>
        <w:tc>
          <w:tcPr>
            <w:tcW w:w="670" w:type="dxa"/>
            <w:tcBorders>
              <w:top w:val="single" w:sz="4" w:space="0" w:color="auto"/>
              <w:bottom w:val="nil"/>
            </w:tcBorders>
          </w:tcPr>
          <w:p w:rsidR="001F4B49" w:rsidRPr="007D2718" w:rsidRDefault="001F4B49" w:rsidP="004000E8">
            <w:pPr>
              <w:pStyle w:val="TableCaption"/>
              <w:keepNext/>
              <w:spacing w:before="20" w:after="20"/>
              <w:rPr>
                <w:kern w:val="16"/>
                <w:szCs w:val="18"/>
              </w:rPr>
            </w:pPr>
            <w:r>
              <w:rPr>
                <w:kern w:val="16"/>
                <w:szCs w:val="18"/>
              </w:rPr>
              <w:t>mm</w:t>
            </w:r>
            <w:r w:rsidRPr="007D2718">
              <w:rPr>
                <w:kern w:val="16"/>
                <w:szCs w:val="18"/>
              </w:rPr>
              <w:t xml:space="preserve"> </w:t>
            </w:r>
          </w:p>
        </w:tc>
        <w:tc>
          <w:tcPr>
            <w:tcW w:w="716" w:type="dxa"/>
            <w:tcBorders>
              <w:top w:val="single" w:sz="4" w:space="0" w:color="auto"/>
              <w:bottom w:val="nil"/>
            </w:tcBorders>
          </w:tcPr>
          <w:p w:rsidR="001F4B49" w:rsidRPr="007D2718" w:rsidRDefault="001F4B49" w:rsidP="004000E8">
            <w:pPr>
              <w:pStyle w:val="TableCaption"/>
              <w:keepNext/>
              <w:spacing w:before="20" w:after="20"/>
              <w:rPr>
                <w:kern w:val="16"/>
                <w:szCs w:val="18"/>
              </w:rPr>
            </w:pPr>
            <w:r>
              <w:rPr>
                <w:kern w:val="16"/>
                <w:szCs w:val="18"/>
              </w:rPr>
              <w:t>0.735</w:t>
            </w:r>
          </w:p>
        </w:tc>
        <w:tc>
          <w:tcPr>
            <w:tcW w:w="783" w:type="dxa"/>
            <w:tcBorders>
              <w:top w:val="single" w:sz="4" w:space="0" w:color="auto"/>
              <w:bottom w:val="nil"/>
            </w:tcBorders>
          </w:tcPr>
          <w:p w:rsidR="001F4B49" w:rsidRPr="007D2718" w:rsidRDefault="001F4B49" w:rsidP="004000E8">
            <w:pPr>
              <w:pStyle w:val="TableCaption"/>
              <w:keepNext/>
              <w:spacing w:before="20" w:after="20"/>
              <w:rPr>
                <w:kern w:val="16"/>
                <w:szCs w:val="18"/>
              </w:rPr>
            </w:pPr>
            <w:r>
              <w:rPr>
                <w:kern w:val="16"/>
                <w:szCs w:val="18"/>
              </w:rPr>
              <w:t>1.065</w:t>
            </w:r>
          </w:p>
        </w:tc>
        <w:tc>
          <w:tcPr>
            <w:tcW w:w="795" w:type="dxa"/>
            <w:tcBorders>
              <w:top w:val="single" w:sz="4" w:space="0" w:color="auto"/>
              <w:bottom w:val="nil"/>
            </w:tcBorders>
          </w:tcPr>
          <w:p w:rsidR="001F4B49" w:rsidRPr="007D2718" w:rsidRDefault="001F4B49" w:rsidP="004000E8">
            <w:pPr>
              <w:pStyle w:val="TableCaption"/>
              <w:keepNext/>
              <w:spacing w:before="20" w:after="20"/>
              <w:rPr>
                <w:kern w:val="16"/>
                <w:szCs w:val="18"/>
              </w:rPr>
            </w:pPr>
            <w:r>
              <w:rPr>
                <w:kern w:val="16"/>
                <w:szCs w:val="18"/>
              </w:rPr>
              <w:t>1.065</w:t>
            </w:r>
          </w:p>
        </w:tc>
        <w:tc>
          <w:tcPr>
            <w:tcW w:w="683" w:type="dxa"/>
            <w:tcBorders>
              <w:top w:val="single" w:sz="4" w:space="0" w:color="auto"/>
              <w:bottom w:val="nil"/>
            </w:tcBorders>
          </w:tcPr>
          <w:p w:rsidR="001F4B49" w:rsidRPr="007D2718" w:rsidRDefault="001F4B49" w:rsidP="004000E8">
            <w:pPr>
              <w:pStyle w:val="TableCaption"/>
              <w:keepNext/>
              <w:spacing w:before="20" w:after="20"/>
              <w:rPr>
                <w:kern w:val="16"/>
                <w:szCs w:val="18"/>
              </w:rPr>
            </w:pPr>
            <w:r>
              <w:rPr>
                <w:kern w:val="16"/>
                <w:szCs w:val="18"/>
              </w:rPr>
              <w:t>1.065</w:t>
            </w:r>
          </w:p>
        </w:tc>
      </w:tr>
      <w:tr w:rsidR="001F4B49" w:rsidRPr="007D2718" w:rsidTr="00EC3685">
        <w:trPr>
          <w:jc w:val="center"/>
        </w:trPr>
        <w:tc>
          <w:tcPr>
            <w:tcW w:w="1141" w:type="dxa"/>
            <w:tcBorders>
              <w:top w:val="nil"/>
              <w:bottom w:val="nil"/>
            </w:tcBorders>
          </w:tcPr>
          <w:p w:rsidR="001F4B49" w:rsidRPr="00071B49" w:rsidRDefault="001F4B49" w:rsidP="004000E8">
            <w:pPr>
              <w:pStyle w:val="TableCaption"/>
              <w:keepNext/>
              <w:spacing w:before="20" w:after="20"/>
              <w:jc w:val="left"/>
            </w:pPr>
            <w:r>
              <w:t>No. strands</w:t>
            </w:r>
          </w:p>
        </w:tc>
        <w:tc>
          <w:tcPr>
            <w:tcW w:w="670" w:type="dxa"/>
            <w:tcBorders>
              <w:top w:val="nil"/>
              <w:bottom w:val="nil"/>
            </w:tcBorders>
          </w:tcPr>
          <w:p w:rsidR="001F4B49" w:rsidRDefault="001F4B49" w:rsidP="004000E8">
            <w:pPr>
              <w:pStyle w:val="TableCaption"/>
              <w:keepNext/>
              <w:spacing w:before="20" w:after="20"/>
              <w:rPr>
                <w:kern w:val="16"/>
                <w:szCs w:val="18"/>
              </w:rPr>
            </w:pPr>
          </w:p>
        </w:tc>
        <w:tc>
          <w:tcPr>
            <w:tcW w:w="716"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22</w:t>
            </w:r>
          </w:p>
        </w:tc>
        <w:tc>
          <w:tcPr>
            <w:tcW w:w="7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28</w:t>
            </w:r>
          </w:p>
        </w:tc>
        <w:tc>
          <w:tcPr>
            <w:tcW w:w="795"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28</w:t>
            </w:r>
          </w:p>
        </w:tc>
        <w:tc>
          <w:tcPr>
            <w:tcW w:w="6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28</w:t>
            </w:r>
          </w:p>
        </w:tc>
      </w:tr>
      <w:tr w:rsidR="001F4B49" w:rsidRPr="007D2718" w:rsidTr="00EC3685">
        <w:trPr>
          <w:jc w:val="center"/>
        </w:trPr>
        <w:tc>
          <w:tcPr>
            <w:tcW w:w="1141" w:type="dxa"/>
            <w:tcBorders>
              <w:top w:val="nil"/>
              <w:bottom w:val="nil"/>
            </w:tcBorders>
          </w:tcPr>
          <w:p w:rsidR="001F4B49" w:rsidRPr="007D2718" w:rsidRDefault="001F4B49" w:rsidP="004000E8">
            <w:pPr>
              <w:pStyle w:val="TableCaption"/>
              <w:spacing w:before="20" w:after="20"/>
              <w:jc w:val="left"/>
              <w:rPr>
                <w:kern w:val="16"/>
                <w:szCs w:val="18"/>
              </w:rPr>
            </w:pPr>
            <w:r>
              <w:rPr>
                <w:kern w:val="16"/>
                <w:szCs w:val="18"/>
              </w:rPr>
              <w:t>Cable width</w:t>
            </w:r>
          </w:p>
        </w:tc>
        <w:tc>
          <w:tcPr>
            <w:tcW w:w="670" w:type="dxa"/>
            <w:tcBorders>
              <w:top w:val="nil"/>
              <w:bottom w:val="nil"/>
            </w:tcBorders>
          </w:tcPr>
          <w:p w:rsidR="001F4B49" w:rsidRPr="007D2718" w:rsidRDefault="001F4B49" w:rsidP="004000E8">
            <w:pPr>
              <w:pStyle w:val="TableCaption"/>
              <w:spacing w:before="20" w:after="20"/>
              <w:rPr>
                <w:kern w:val="16"/>
                <w:szCs w:val="18"/>
              </w:rPr>
            </w:pPr>
            <w:r>
              <w:rPr>
                <w:kern w:val="16"/>
                <w:szCs w:val="18"/>
              </w:rPr>
              <w:t>mm</w:t>
            </w:r>
            <w:r w:rsidRPr="007D2718">
              <w:rPr>
                <w:kern w:val="16"/>
                <w:szCs w:val="18"/>
              </w:rPr>
              <w:t xml:space="preserve"> </w:t>
            </w:r>
          </w:p>
        </w:tc>
        <w:tc>
          <w:tcPr>
            <w:tcW w:w="716"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8.3</w:t>
            </w:r>
          </w:p>
        </w:tc>
        <w:tc>
          <w:tcPr>
            <w:tcW w:w="7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15.1</w:t>
            </w:r>
          </w:p>
        </w:tc>
        <w:tc>
          <w:tcPr>
            <w:tcW w:w="795"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15.1</w:t>
            </w:r>
          </w:p>
        </w:tc>
        <w:tc>
          <w:tcPr>
            <w:tcW w:w="6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15.1</w:t>
            </w:r>
          </w:p>
        </w:tc>
      </w:tr>
      <w:tr w:rsidR="001F4B49" w:rsidRPr="007D2718" w:rsidTr="00EC3685">
        <w:trPr>
          <w:jc w:val="center"/>
        </w:trPr>
        <w:tc>
          <w:tcPr>
            <w:tcW w:w="1141" w:type="dxa"/>
            <w:tcBorders>
              <w:top w:val="nil"/>
              <w:bottom w:val="nil"/>
            </w:tcBorders>
          </w:tcPr>
          <w:p w:rsidR="001F4B49" w:rsidRDefault="001F4B49" w:rsidP="004000E8">
            <w:pPr>
              <w:pStyle w:val="TableCaption"/>
              <w:keepNext/>
              <w:spacing w:before="20" w:after="20"/>
              <w:jc w:val="left"/>
            </w:pPr>
            <w:r>
              <w:t>R</w:t>
            </w:r>
            <w:r w:rsidRPr="004378D8">
              <w:rPr>
                <w:vertAlign w:val="subscript"/>
              </w:rPr>
              <w:t>coil</w:t>
            </w:r>
            <w:r>
              <w:t xml:space="preserve"> (inner)</w:t>
            </w:r>
          </w:p>
        </w:tc>
        <w:tc>
          <w:tcPr>
            <w:tcW w:w="670" w:type="dxa"/>
            <w:tcBorders>
              <w:top w:val="nil"/>
              <w:bottom w:val="nil"/>
            </w:tcBorders>
          </w:tcPr>
          <w:p w:rsidR="001F4B49" w:rsidRDefault="007F373A" w:rsidP="004000E8">
            <w:pPr>
              <w:pStyle w:val="TableCaption"/>
              <w:keepNext/>
              <w:spacing w:before="20" w:after="20"/>
              <w:rPr>
                <w:kern w:val="16"/>
                <w:szCs w:val="18"/>
              </w:rPr>
            </w:pPr>
            <w:r>
              <w:rPr>
                <w:kern w:val="16"/>
                <w:szCs w:val="18"/>
              </w:rPr>
              <w:t>m</w:t>
            </w:r>
            <w:r w:rsidR="001F4B49">
              <w:rPr>
                <w:kern w:val="16"/>
                <w:szCs w:val="18"/>
              </w:rPr>
              <w:t>m</w:t>
            </w:r>
          </w:p>
        </w:tc>
        <w:tc>
          <w:tcPr>
            <w:tcW w:w="716" w:type="dxa"/>
            <w:tcBorders>
              <w:top w:val="nil"/>
              <w:bottom w:val="nil"/>
            </w:tcBorders>
          </w:tcPr>
          <w:p w:rsidR="001F4B49" w:rsidRDefault="007F373A" w:rsidP="004000E8">
            <w:pPr>
              <w:pStyle w:val="TableCaption"/>
              <w:keepNext/>
              <w:spacing w:before="20" w:after="20"/>
              <w:rPr>
                <w:kern w:val="16"/>
                <w:szCs w:val="18"/>
              </w:rPr>
            </w:pPr>
            <w:r>
              <w:rPr>
                <w:kern w:val="16"/>
                <w:szCs w:val="18"/>
              </w:rPr>
              <w:t>5</w:t>
            </w:r>
            <w:r w:rsidR="001F4B49">
              <w:rPr>
                <w:kern w:val="16"/>
                <w:szCs w:val="18"/>
              </w:rPr>
              <w:t>3</w:t>
            </w:r>
          </w:p>
        </w:tc>
        <w:tc>
          <w:tcPr>
            <w:tcW w:w="783" w:type="dxa"/>
            <w:tcBorders>
              <w:top w:val="nil"/>
              <w:bottom w:val="nil"/>
            </w:tcBorders>
          </w:tcPr>
          <w:p w:rsidR="001F4B49" w:rsidRPr="007D2718" w:rsidRDefault="00BA3F5D" w:rsidP="004000E8">
            <w:pPr>
              <w:pStyle w:val="TableCaption"/>
              <w:keepNext/>
              <w:spacing w:before="20" w:after="20"/>
              <w:rPr>
                <w:kern w:val="16"/>
                <w:szCs w:val="18"/>
              </w:rPr>
            </w:pPr>
            <w:r>
              <w:rPr>
                <w:kern w:val="16"/>
                <w:szCs w:val="18"/>
              </w:rPr>
              <w:t>100</w:t>
            </w:r>
          </w:p>
        </w:tc>
        <w:tc>
          <w:tcPr>
            <w:tcW w:w="795" w:type="dxa"/>
            <w:tcBorders>
              <w:top w:val="nil"/>
              <w:bottom w:val="nil"/>
            </w:tcBorders>
          </w:tcPr>
          <w:p w:rsidR="001F4B49" w:rsidRPr="007D2718" w:rsidRDefault="007F373A" w:rsidP="004000E8">
            <w:pPr>
              <w:pStyle w:val="TableCaption"/>
              <w:keepNext/>
              <w:spacing w:before="20" w:after="20"/>
              <w:rPr>
                <w:kern w:val="16"/>
                <w:szCs w:val="18"/>
              </w:rPr>
            </w:pPr>
            <w:r>
              <w:rPr>
                <w:kern w:val="16"/>
                <w:szCs w:val="18"/>
              </w:rPr>
              <w:t>13</w:t>
            </w:r>
            <w:r w:rsidR="001F4B49">
              <w:rPr>
                <w:kern w:val="16"/>
                <w:szCs w:val="18"/>
              </w:rPr>
              <w:t>1</w:t>
            </w:r>
          </w:p>
        </w:tc>
        <w:tc>
          <w:tcPr>
            <w:tcW w:w="683" w:type="dxa"/>
            <w:tcBorders>
              <w:top w:val="nil"/>
              <w:bottom w:val="nil"/>
            </w:tcBorders>
          </w:tcPr>
          <w:p w:rsidR="001F4B49" w:rsidRPr="007D2718" w:rsidRDefault="007F373A" w:rsidP="004000E8">
            <w:pPr>
              <w:pStyle w:val="TableCaption"/>
              <w:keepNext/>
              <w:spacing w:before="20" w:after="20"/>
              <w:rPr>
                <w:kern w:val="16"/>
                <w:szCs w:val="18"/>
              </w:rPr>
            </w:pPr>
            <w:r>
              <w:rPr>
                <w:kern w:val="16"/>
                <w:szCs w:val="18"/>
              </w:rPr>
              <w:t>18</w:t>
            </w:r>
            <w:r w:rsidR="001F4B49">
              <w:rPr>
                <w:kern w:val="16"/>
                <w:szCs w:val="18"/>
              </w:rPr>
              <w:t>5</w:t>
            </w:r>
          </w:p>
        </w:tc>
      </w:tr>
      <w:tr w:rsidR="001F4B49" w:rsidRPr="007D2718" w:rsidTr="00EC3685">
        <w:trPr>
          <w:jc w:val="center"/>
        </w:trPr>
        <w:tc>
          <w:tcPr>
            <w:tcW w:w="1141" w:type="dxa"/>
            <w:tcBorders>
              <w:top w:val="nil"/>
              <w:bottom w:val="nil"/>
            </w:tcBorders>
          </w:tcPr>
          <w:p w:rsidR="001F4B49" w:rsidRPr="00071B49" w:rsidRDefault="001F4B49" w:rsidP="004000E8">
            <w:pPr>
              <w:pStyle w:val="TableCaption"/>
              <w:keepNext/>
              <w:spacing w:before="20" w:after="20"/>
              <w:jc w:val="left"/>
            </w:pPr>
            <w:r>
              <w:t>No. layers</w:t>
            </w:r>
          </w:p>
        </w:tc>
        <w:tc>
          <w:tcPr>
            <w:tcW w:w="670" w:type="dxa"/>
            <w:tcBorders>
              <w:top w:val="nil"/>
              <w:bottom w:val="nil"/>
            </w:tcBorders>
          </w:tcPr>
          <w:p w:rsidR="001F4B49" w:rsidRDefault="001F4B49" w:rsidP="004000E8">
            <w:pPr>
              <w:pStyle w:val="TableCaption"/>
              <w:keepNext/>
              <w:spacing w:before="20" w:after="20"/>
              <w:rPr>
                <w:kern w:val="16"/>
                <w:szCs w:val="18"/>
              </w:rPr>
            </w:pPr>
          </w:p>
        </w:tc>
        <w:tc>
          <w:tcPr>
            <w:tcW w:w="716"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1</w:t>
            </w:r>
          </w:p>
        </w:tc>
        <w:tc>
          <w:tcPr>
            <w:tcW w:w="7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1</w:t>
            </w:r>
          </w:p>
        </w:tc>
        <w:tc>
          <w:tcPr>
            <w:tcW w:w="795"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w:t>
            </w:r>
          </w:p>
        </w:tc>
        <w:tc>
          <w:tcPr>
            <w:tcW w:w="6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w:t>
            </w:r>
          </w:p>
        </w:tc>
      </w:tr>
      <w:tr w:rsidR="001F4B49" w:rsidRPr="007D2718" w:rsidTr="00EC3685">
        <w:trPr>
          <w:jc w:val="center"/>
        </w:trPr>
        <w:tc>
          <w:tcPr>
            <w:tcW w:w="1141" w:type="dxa"/>
            <w:tcBorders>
              <w:top w:val="nil"/>
              <w:bottom w:val="nil"/>
            </w:tcBorders>
          </w:tcPr>
          <w:p w:rsidR="001F4B49" w:rsidRDefault="001F4B49" w:rsidP="004000E8">
            <w:pPr>
              <w:pStyle w:val="TableCaption"/>
              <w:keepNext/>
              <w:spacing w:before="20" w:after="20"/>
              <w:jc w:val="left"/>
            </w:pPr>
            <w:r>
              <w:t>No. blocks</w:t>
            </w:r>
          </w:p>
        </w:tc>
        <w:tc>
          <w:tcPr>
            <w:tcW w:w="670" w:type="dxa"/>
            <w:tcBorders>
              <w:top w:val="nil"/>
              <w:bottom w:val="nil"/>
            </w:tcBorders>
          </w:tcPr>
          <w:p w:rsidR="001F4B49" w:rsidRDefault="001F4B49" w:rsidP="004000E8">
            <w:pPr>
              <w:pStyle w:val="TableCaption"/>
              <w:keepNext/>
              <w:spacing w:before="20" w:after="20"/>
              <w:rPr>
                <w:kern w:val="16"/>
                <w:szCs w:val="18"/>
              </w:rPr>
            </w:pPr>
          </w:p>
        </w:tc>
        <w:tc>
          <w:tcPr>
            <w:tcW w:w="716" w:type="dxa"/>
            <w:tcBorders>
              <w:top w:val="nil"/>
              <w:bottom w:val="nil"/>
            </w:tcBorders>
          </w:tcPr>
          <w:p w:rsidR="001F4B49" w:rsidRDefault="001F4B49" w:rsidP="004000E8">
            <w:pPr>
              <w:pStyle w:val="TableCaption"/>
              <w:keepNext/>
              <w:spacing w:before="20" w:after="20"/>
              <w:rPr>
                <w:kern w:val="16"/>
                <w:szCs w:val="18"/>
              </w:rPr>
            </w:pPr>
            <w:r>
              <w:rPr>
                <w:kern w:val="16"/>
                <w:szCs w:val="18"/>
              </w:rPr>
              <w:t>2</w:t>
            </w:r>
          </w:p>
        </w:tc>
        <w:tc>
          <w:tcPr>
            <w:tcW w:w="7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2</w:t>
            </w:r>
          </w:p>
        </w:tc>
        <w:tc>
          <w:tcPr>
            <w:tcW w:w="795"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4</w:t>
            </w:r>
          </w:p>
        </w:tc>
        <w:tc>
          <w:tcPr>
            <w:tcW w:w="6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4</w:t>
            </w:r>
          </w:p>
        </w:tc>
      </w:tr>
      <w:tr w:rsidR="001F4B49" w:rsidRPr="007D2718" w:rsidTr="00EC3685">
        <w:trPr>
          <w:jc w:val="center"/>
        </w:trPr>
        <w:tc>
          <w:tcPr>
            <w:tcW w:w="1141" w:type="dxa"/>
            <w:tcBorders>
              <w:top w:val="nil"/>
              <w:bottom w:val="nil"/>
            </w:tcBorders>
          </w:tcPr>
          <w:p w:rsidR="001F4B49" w:rsidRDefault="001F4B49" w:rsidP="004000E8">
            <w:pPr>
              <w:pStyle w:val="TableCaption"/>
              <w:keepNext/>
              <w:spacing w:before="20" w:after="20"/>
              <w:jc w:val="left"/>
            </w:pPr>
            <w:r>
              <w:t>R</w:t>
            </w:r>
            <w:r>
              <w:rPr>
                <w:vertAlign w:val="subscript"/>
              </w:rPr>
              <w:t>yoke</w:t>
            </w:r>
            <w:r>
              <w:t xml:space="preserve"> (inner)</w:t>
            </w:r>
          </w:p>
        </w:tc>
        <w:tc>
          <w:tcPr>
            <w:tcW w:w="670" w:type="dxa"/>
            <w:tcBorders>
              <w:top w:val="nil"/>
              <w:bottom w:val="nil"/>
            </w:tcBorders>
          </w:tcPr>
          <w:p w:rsidR="001F4B49" w:rsidRDefault="007F373A" w:rsidP="004000E8">
            <w:pPr>
              <w:pStyle w:val="TableCaption"/>
              <w:keepNext/>
              <w:spacing w:before="20" w:after="20"/>
              <w:rPr>
                <w:kern w:val="16"/>
                <w:szCs w:val="18"/>
              </w:rPr>
            </w:pPr>
            <w:r>
              <w:rPr>
                <w:kern w:val="16"/>
                <w:szCs w:val="18"/>
              </w:rPr>
              <w:t>m</w:t>
            </w:r>
            <w:r w:rsidR="001F4B49">
              <w:rPr>
                <w:kern w:val="16"/>
                <w:szCs w:val="18"/>
              </w:rPr>
              <w:t>m</w:t>
            </w:r>
          </w:p>
        </w:tc>
        <w:tc>
          <w:tcPr>
            <w:tcW w:w="716" w:type="dxa"/>
            <w:tcBorders>
              <w:top w:val="nil"/>
              <w:bottom w:val="nil"/>
            </w:tcBorders>
          </w:tcPr>
          <w:p w:rsidR="001F4B49" w:rsidRDefault="007F373A" w:rsidP="004000E8">
            <w:pPr>
              <w:pStyle w:val="TableCaption"/>
              <w:keepNext/>
              <w:spacing w:before="20" w:after="20"/>
              <w:rPr>
                <w:kern w:val="16"/>
                <w:szCs w:val="18"/>
              </w:rPr>
            </w:pPr>
            <w:r>
              <w:rPr>
                <w:kern w:val="16"/>
                <w:szCs w:val="18"/>
              </w:rPr>
              <w:t>70</w:t>
            </w:r>
          </w:p>
        </w:tc>
        <w:tc>
          <w:tcPr>
            <w:tcW w:w="783" w:type="dxa"/>
            <w:tcBorders>
              <w:top w:val="nil"/>
              <w:bottom w:val="nil"/>
            </w:tcBorders>
          </w:tcPr>
          <w:p w:rsidR="001F4B49" w:rsidRPr="007D2718" w:rsidRDefault="003F7B30" w:rsidP="004000E8">
            <w:pPr>
              <w:pStyle w:val="TableCaption"/>
              <w:keepNext/>
              <w:spacing w:before="20" w:after="20"/>
              <w:rPr>
                <w:kern w:val="16"/>
                <w:szCs w:val="18"/>
              </w:rPr>
            </w:pPr>
            <w:r>
              <w:rPr>
                <w:kern w:val="16"/>
                <w:szCs w:val="18"/>
              </w:rPr>
              <w:t>135</w:t>
            </w:r>
          </w:p>
        </w:tc>
        <w:tc>
          <w:tcPr>
            <w:tcW w:w="795" w:type="dxa"/>
            <w:tcBorders>
              <w:top w:val="nil"/>
              <w:bottom w:val="nil"/>
            </w:tcBorders>
          </w:tcPr>
          <w:p w:rsidR="001F4B49" w:rsidRPr="007D2718" w:rsidRDefault="00BA3F5D" w:rsidP="004000E8">
            <w:pPr>
              <w:pStyle w:val="TableCaption"/>
              <w:keepNext/>
              <w:spacing w:before="20" w:after="20"/>
              <w:rPr>
                <w:kern w:val="16"/>
                <w:szCs w:val="18"/>
              </w:rPr>
            </w:pPr>
            <w:r>
              <w:rPr>
                <w:kern w:val="16"/>
                <w:szCs w:val="18"/>
              </w:rPr>
              <w:t>187</w:t>
            </w:r>
          </w:p>
        </w:tc>
        <w:tc>
          <w:tcPr>
            <w:tcW w:w="683" w:type="dxa"/>
            <w:tcBorders>
              <w:top w:val="nil"/>
              <w:bottom w:val="nil"/>
            </w:tcBorders>
          </w:tcPr>
          <w:p w:rsidR="001F4B49" w:rsidRPr="007D2718" w:rsidRDefault="00BA3F5D" w:rsidP="004000E8">
            <w:pPr>
              <w:pStyle w:val="TableCaption"/>
              <w:keepNext/>
              <w:spacing w:before="20" w:after="20"/>
              <w:rPr>
                <w:kern w:val="16"/>
                <w:szCs w:val="18"/>
              </w:rPr>
            </w:pPr>
            <w:r>
              <w:rPr>
                <w:kern w:val="16"/>
                <w:szCs w:val="18"/>
              </w:rPr>
              <w:t>245</w:t>
            </w:r>
          </w:p>
        </w:tc>
      </w:tr>
      <w:tr w:rsidR="007F373A" w:rsidRPr="007D2718" w:rsidTr="00EC3685">
        <w:trPr>
          <w:jc w:val="center"/>
        </w:trPr>
        <w:tc>
          <w:tcPr>
            <w:tcW w:w="1141" w:type="dxa"/>
            <w:tcBorders>
              <w:top w:val="nil"/>
              <w:bottom w:val="nil"/>
            </w:tcBorders>
          </w:tcPr>
          <w:p w:rsidR="007F373A" w:rsidRDefault="007F373A" w:rsidP="00DC4B5A">
            <w:pPr>
              <w:pStyle w:val="TableCaption"/>
              <w:keepNext/>
              <w:spacing w:before="20" w:after="20"/>
              <w:jc w:val="left"/>
            </w:pPr>
            <w:r>
              <w:t>R</w:t>
            </w:r>
            <w:r>
              <w:rPr>
                <w:vertAlign w:val="subscript"/>
              </w:rPr>
              <w:t>yoke</w:t>
            </w:r>
            <w:r>
              <w:t xml:space="preserve"> (outer)</w:t>
            </w:r>
          </w:p>
        </w:tc>
        <w:tc>
          <w:tcPr>
            <w:tcW w:w="670" w:type="dxa"/>
            <w:tcBorders>
              <w:top w:val="nil"/>
              <w:bottom w:val="nil"/>
            </w:tcBorders>
          </w:tcPr>
          <w:p w:rsidR="007F373A" w:rsidRDefault="007F373A" w:rsidP="00DC4B5A">
            <w:pPr>
              <w:pStyle w:val="TableCaption"/>
              <w:keepNext/>
              <w:spacing w:before="20" w:after="20"/>
              <w:rPr>
                <w:kern w:val="16"/>
                <w:szCs w:val="18"/>
              </w:rPr>
            </w:pPr>
            <w:r>
              <w:rPr>
                <w:kern w:val="16"/>
                <w:szCs w:val="18"/>
              </w:rPr>
              <w:t>mm</w:t>
            </w:r>
          </w:p>
        </w:tc>
        <w:tc>
          <w:tcPr>
            <w:tcW w:w="716" w:type="dxa"/>
            <w:tcBorders>
              <w:top w:val="nil"/>
              <w:bottom w:val="nil"/>
            </w:tcBorders>
          </w:tcPr>
          <w:p w:rsidR="007F373A" w:rsidRDefault="007F373A" w:rsidP="004000E8">
            <w:pPr>
              <w:pStyle w:val="TableCaption"/>
              <w:keepNext/>
              <w:spacing w:before="20" w:after="20"/>
              <w:rPr>
                <w:kern w:val="16"/>
                <w:szCs w:val="18"/>
              </w:rPr>
            </w:pPr>
            <w:r>
              <w:rPr>
                <w:kern w:val="16"/>
                <w:szCs w:val="18"/>
              </w:rPr>
              <w:t>95±15</w:t>
            </w:r>
          </w:p>
        </w:tc>
        <w:tc>
          <w:tcPr>
            <w:tcW w:w="783" w:type="dxa"/>
            <w:tcBorders>
              <w:top w:val="nil"/>
              <w:bottom w:val="nil"/>
            </w:tcBorders>
          </w:tcPr>
          <w:p w:rsidR="007F373A" w:rsidRDefault="003F7B30" w:rsidP="004000E8">
            <w:pPr>
              <w:pStyle w:val="TableCaption"/>
              <w:keepNext/>
              <w:spacing w:before="20" w:after="20"/>
              <w:rPr>
                <w:kern w:val="16"/>
                <w:szCs w:val="18"/>
              </w:rPr>
            </w:pPr>
            <w:r>
              <w:rPr>
                <w:kern w:val="16"/>
                <w:szCs w:val="18"/>
              </w:rPr>
              <w:t>225</w:t>
            </w:r>
          </w:p>
        </w:tc>
        <w:tc>
          <w:tcPr>
            <w:tcW w:w="795" w:type="dxa"/>
            <w:tcBorders>
              <w:top w:val="nil"/>
              <w:bottom w:val="nil"/>
            </w:tcBorders>
          </w:tcPr>
          <w:p w:rsidR="007F373A" w:rsidRDefault="00BA3F5D" w:rsidP="004000E8">
            <w:pPr>
              <w:pStyle w:val="TableCaption"/>
              <w:keepNext/>
              <w:spacing w:before="20" w:after="20"/>
              <w:rPr>
                <w:kern w:val="16"/>
                <w:szCs w:val="18"/>
              </w:rPr>
            </w:pPr>
            <w:r>
              <w:rPr>
                <w:kern w:val="16"/>
                <w:szCs w:val="18"/>
              </w:rPr>
              <w:t>302</w:t>
            </w:r>
          </w:p>
        </w:tc>
        <w:tc>
          <w:tcPr>
            <w:tcW w:w="683" w:type="dxa"/>
            <w:tcBorders>
              <w:top w:val="nil"/>
              <w:bottom w:val="nil"/>
            </w:tcBorders>
          </w:tcPr>
          <w:p w:rsidR="007F373A" w:rsidRDefault="00BA3F5D" w:rsidP="004000E8">
            <w:pPr>
              <w:pStyle w:val="TableCaption"/>
              <w:keepNext/>
              <w:spacing w:before="20" w:after="20"/>
              <w:rPr>
                <w:kern w:val="16"/>
                <w:szCs w:val="18"/>
              </w:rPr>
            </w:pPr>
            <w:r>
              <w:rPr>
                <w:kern w:val="16"/>
                <w:szCs w:val="18"/>
              </w:rPr>
              <w:t>434</w:t>
            </w:r>
          </w:p>
        </w:tc>
      </w:tr>
      <w:tr w:rsidR="001F4B49" w:rsidRPr="007D2718" w:rsidTr="00EC3685">
        <w:trPr>
          <w:jc w:val="center"/>
        </w:trPr>
        <w:tc>
          <w:tcPr>
            <w:tcW w:w="1141" w:type="dxa"/>
            <w:tcBorders>
              <w:top w:val="nil"/>
              <w:bottom w:val="nil"/>
            </w:tcBorders>
          </w:tcPr>
          <w:p w:rsidR="001F4B49" w:rsidRPr="00071B49" w:rsidRDefault="001F4B49" w:rsidP="004000E8">
            <w:pPr>
              <w:pStyle w:val="TableCaption"/>
              <w:keepNext/>
              <w:spacing w:before="20" w:after="20"/>
              <w:jc w:val="left"/>
            </w:pPr>
            <w:r>
              <w:t>Ref. current</w:t>
            </w:r>
          </w:p>
        </w:tc>
        <w:tc>
          <w:tcPr>
            <w:tcW w:w="670" w:type="dxa"/>
            <w:tcBorders>
              <w:top w:val="nil"/>
              <w:bottom w:val="nil"/>
            </w:tcBorders>
          </w:tcPr>
          <w:p w:rsidR="001F4B49" w:rsidRDefault="001F4B49" w:rsidP="004000E8">
            <w:pPr>
              <w:pStyle w:val="TableCaption"/>
              <w:keepNext/>
              <w:spacing w:before="20" w:after="20"/>
              <w:rPr>
                <w:kern w:val="16"/>
                <w:szCs w:val="18"/>
              </w:rPr>
            </w:pPr>
            <w:r>
              <w:rPr>
                <w:kern w:val="16"/>
                <w:szCs w:val="18"/>
              </w:rPr>
              <w:t>kA</w:t>
            </w:r>
          </w:p>
        </w:tc>
        <w:tc>
          <w:tcPr>
            <w:tcW w:w="716"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3.15</w:t>
            </w:r>
          </w:p>
        </w:tc>
        <w:tc>
          <w:tcPr>
            <w:tcW w:w="7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9.5</w:t>
            </w:r>
          </w:p>
        </w:tc>
        <w:tc>
          <w:tcPr>
            <w:tcW w:w="795"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7.1</w:t>
            </w:r>
          </w:p>
        </w:tc>
        <w:tc>
          <w:tcPr>
            <w:tcW w:w="683" w:type="dxa"/>
            <w:tcBorders>
              <w:top w:val="nil"/>
              <w:bottom w:val="nil"/>
            </w:tcBorders>
          </w:tcPr>
          <w:p w:rsidR="001F4B49" w:rsidRPr="007D2718" w:rsidRDefault="001F4B49" w:rsidP="004000E8">
            <w:pPr>
              <w:pStyle w:val="TableCaption"/>
              <w:keepNext/>
              <w:spacing w:before="20" w:after="20"/>
              <w:rPr>
                <w:kern w:val="16"/>
                <w:szCs w:val="18"/>
              </w:rPr>
            </w:pPr>
            <w:r>
              <w:rPr>
                <w:kern w:val="16"/>
                <w:szCs w:val="18"/>
              </w:rPr>
              <w:t>6.5</w:t>
            </w:r>
          </w:p>
        </w:tc>
      </w:tr>
      <w:tr w:rsidR="001F4B49" w:rsidRPr="007D2718" w:rsidTr="00EC3685">
        <w:trPr>
          <w:jc w:val="center"/>
        </w:trPr>
        <w:tc>
          <w:tcPr>
            <w:tcW w:w="1141" w:type="dxa"/>
            <w:tcBorders>
              <w:top w:val="nil"/>
              <w:bottom w:val="single" w:sz="8" w:space="0" w:color="auto"/>
            </w:tcBorders>
          </w:tcPr>
          <w:p w:rsidR="001F4B49" w:rsidRDefault="00FF17A0" w:rsidP="004000E8">
            <w:pPr>
              <w:pStyle w:val="TableCaption"/>
              <w:keepNext/>
              <w:spacing w:before="20" w:after="20"/>
              <w:jc w:val="left"/>
            </w:pPr>
            <w:r>
              <w:t>Ref. g</w:t>
            </w:r>
            <w:r w:rsidR="001F4B49">
              <w:t>rad</w:t>
            </w:r>
            <w:r>
              <w:t>.</w:t>
            </w:r>
          </w:p>
        </w:tc>
        <w:tc>
          <w:tcPr>
            <w:tcW w:w="670" w:type="dxa"/>
            <w:tcBorders>
              <w:top w:val="nil"/>
              <w:bottom w:val="single" w:sz="8" w:space="0" w:color="auto"/>
            </w:tcBorders>
          </w:tcPr>
          <w:p w:rsidR="001F4B49" w:rsidRDefault="001F4B49" w:rsidP="004000E8">
            <w:pPr>
              <w:pStyle w:val="TableCaption"/>
              <w:keepNext/>
              <w:spacing w:before="20" w:after="20"/>
              <w:rPr>
                <w:kern w:val="16"/>
                <w:szCs w:val="18"/>
              </w:rPr>
            </w:pPr>
            <w:r>
              <w:rPr>
                <w:kern w:val="16"/>
                <w:szCs w:val="18"/>
              </w:rPr>
              <w:t>T/m</w:t>
            </w:r>
          </w:p>
        </w:tc>
        <w:tc>
          <w:tcPr>
            <w:tcW w:w="716" w:type="dxa"/>
            <w:tcBorders>
              <w:top w:val="nil"/>
              <w:bottom w:val="single" w:sz="8" w:space="0" w:color="auto"/>
            </w:tcBorders>
          </w:tcPr>
          <w:p w:rsidR="001F4B49" w:rsidRPr="007D2718" w:rsidRDefault="001F4B49" w:rsidP="004000E8">
            <w:pPr>
              <w:pStyle w:val="TableCaption"/>
              <w:keepNext/>
              <w:spacing w:before="20" w:after="20"/>
              <w:rPr>
                <w:kern w:val="16"/>
                <w:szCs w:val="18"/>
              </w:rPr>
            </w:pPr>
            <w:r>
              <w:rPr>
                <w:kern w:val="16"/>
                <w:szCs w:val="18"/>
              </w:rPr>
              <w:t>35.5</w:t>
            </w:r>
          </w:p>
        </w:tc>
        <w:tc>
          <w:tcPr>
            <w:tcW w:w="783" w:type="dxa"/>
            <w:tcBorders>
              <w:top w:val="nil"/>
              <w:bottom w:val="single" w:sz="8" w:space="0" w:color="auto"/>
            </w:tcBorders>
          </w:tcPr>
          <w:p w:rsidR="001F4B49" w:rsidRPr="007D2718" w:rsidRDefault="001F4B49" w:rsidP="004000E8">
            <w:pPr>
              <w:pStyle w:val="TableCaption"/>
              <w:keepNext/>
              <w:spacing w:before="20" w:after="20"/>
              <w:rPr>
                <w:kern w:val="16"/>
                <w:szCs w:val="18"/>
              </w:rPr>
            </w:pPr>
            <w:r>
              <w:rPr>
                <w:kern w:val="16"/>
                <w:szCs w:val="18"/>
              </w:rPr>
              <w:t>38.0</w:t>
            </w:r>
          </w:p>
        </w:tc>
        <w:tc>
          <w:tcPr>
            <w:tcW w:w="795" w:type="dxa"/>
            <w:tcBorders>
              <w:top w:val="nil"/>
              <w:bottom w:val="single" w:sz="8" w:space="0" w:color="auto"/>
            </w:tcBorders>
          </w:tcPr>
          <w:p w:rsidR="001F4B49" w:rsidRPr="007D2718" w:rsidRDefault="001F4B49" w:rsidP="004000E8">
            <w:pPr>
              <w:pStyle w:val="TableCaption"/>
              <w:keepNext/>
              <w:spacing w:before="20" w:after="20"/>
              <w:rPr>
                <w:kern w:val="16"/>
                <w:szCs w:val="18"/>
              </w:rPr>
            </w:pPr>
            <w:r>
              <w:rPr>
                <w:kern w:val="16"/>
                <w:szCs w:val="18"/>
              </w:rPr>
              <w:t>36.7</w:t>
            </w:r>
          </w:p>
        </w:tc>
        <w:tc>
          <w:tcPr>
            <w:tcW w:w="683" w:type="dxa"/>
            <w:tcBorders>
              <w:top w:val="nil"/>
              <w:bottom w:val="single" w:sz="8" w:space="0" w:color="auto"/>
            </w:tcBorders>
          </w:tcPr>
          <w:p w:rsidR="001F4B49" w:rsidRPr="007D2718" w:rsidRDefault="001F4B49" w:rsidP="004000E8">
            <w:pPr>
              <w:pStyle w:val="TableCaption"/>
              <w:keepNext/>
              <w:spacing w:before="20" w:after="20"/>
              <w:rPr>
                <w:kern w:val="16"/>
                <w:szCs w:val="18"/>
              </w:rPr>
            </w:pPr>
            <w:r>
              <w:rPr>
                <w:kern w:val="16"/>
                <w:szCs w:val="18"/>
              </w:rPr>
              <w:t>26.2</w:t>
            </w:r>
          </w:p>
        </w:tc>
      </w:tr>
    </w:tbl>
    <w:p w:rsidR="001F4B49" w:rsidRDefault="001F4B49" w:rsidP="001F4B49">
      <w:pPr>
        <w:pStyle w:val="BodyTextIndent"/>
        <w:rPr>
          <w:kern w:val="16"/>
        </w:rPr>
      </w:pPr>
    </w:p>
    <w:p w:rsidR="004A6757" w:rsidRPr="007F09CA" w:rsidRDefault="004A6757" w:rsidP="004A6757">
      <w:pPr>
        <w:pStyle w:val="BodyTextIndent"/>
        <w:ind w:firstLine="0"/>
        <w:jc w:val="center"/>
      </w:pPr>
      <w:r>
        <w:rPr>
          <w:noProof/>
          <w:lang w:val="en-US"/>
        </w:rPr>
        <w:drawing>
          <wp:inline distT="0" distB="0" distL="0" distR="0" wp14:anchorId="6B8A4903" wp14:editId="331FE004">
            <wp:extent cx="2846866" cy="2008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550" cy="2013424"/>
                    </a:xfrm>
                    <a:prstGeom prst="rect">
                      <a:avLst/>
                    </a:prstGeom>
                    <a:noFill/>
                  </pic:spPr>
                </pic:pic>
              </a:graphicData>
            </a:graphic>
          </wp:inline>
        </w:drawing>
      </w:r>
    </w:p>
    <w:p w:rsidR="004A6757" w:rsidRPr="007D2718" w:rsidRDefault="004A6757" w:rsidP="001B2601">
      <w:pPr>
        <w:pStyle w:val="Caption"/>
        <w:jc w:val="both"/>
      </w:pPr>
      <w:r w:rsidRPr="007D2718">
        <w:t xml:space="preserve">Figure </w:t>
      </w:r>
      <w:r w:rsidR="000D3A9E">
        <w:t>1</w:t>
      </w:r>
      <w:r w:rsidRPr="007D2718">
        <w:rPr>
          <w:rStyle w:val="CaptionChar"/>
          <w:rFonts w:ascii="Times New Roman" w:hAnsi="Times New Roman"/>
        </w:rPr>
        <w:t xml:space="preserve">: </w:t>
      </w:r>
      <w:r>
        <w:rPr>
          <w:rStyle w:val="CaptionChar"/>
          <w:rFonts w:ascii="Times New Roman" w:hAnsi="Times New Roman"/>
        </w:rPr>
        <w:t xml:space="preserve">Random errors for conductor block positioning tolerances of </w:t>
      </w:r>
      <w:r w:rsidRPr="0062323A">
        <w:rPr>
          <w:kern w:val="16"/>
        </w:rPr>
        <w:t>±</w:t>
      </w:r>
      <w:r>
        <w:rPr>
          <w:rStyle w:val="CaptionChar"/>
          <w:rFonts w:ascii="Times New Roman" w:hAnsi="Times New Roman"/>
        </w:rPr>
        <w:t xml:space="preserve">100 </w:t>
      </w:r>
      <w:r w:rsidRPr="00AE03CF">
        <w:rPr>
          <w:rStyle w:val="CaptionChar"/>
          <w:rFonts w:ascii="Symbol" w:hAnsi="Symbol"/>
        </w:rPr>
        <w:t></w:t>
      </w:r>
      <w:r>
        <w:rPr>
          <w:rStyle w:val="CaptionChar"/>
          <w:rFonts w:ascii="Times New Roman" w:hAnsi="Times New Roman"/>
        </w:rPr>
        <w:t>m in radial and azimuthal direction.</w:t>
      </w:r>
    </w:p>
    <w:p w:rsidR="00C158F0" w:rsidRPr="007D2718" w:rsidRDefault="00AA0004" w:rsidP="00C158F0">
      <w:pPr>
        <w:pStyle w:val="JSubsectionHeading"/>
        <w:rPr>
          <w:rFonts w:cs="Times New Roman"/>
        </w:rPr>
      </w:pPr>
      <w:r>
        <w:rPr>
          <w:rFonts w:cs="Times New Roman"/>
        </w:rPr>
        <w:lastRenderedPageBreak/>
        <w:t>Geometric Harmonics and Random E</w:t>
      </w:r>
      <w:r w:rsidR="00C158F0">
        <w:rPr>
          <w:rFonts w:cs="Times New Roman"/>
        </w:rPr>
        <w:t xml:space="preserve">rrors  </w:t>
      </w:r>
    </w:p>
    <w:p w:rsidR="00C158F0" w:rsidRDefault="000D3A9E" w:rsidP="00C158F0">
      <w:pPr>
        <w:pStyle w:val="BodyTextIndent"/>
        <w:rPr>
          <w:kern w:val="16"/>
        </w:rPr>
      </w:pPr>
      <w:r>
        <w:rPr>
          <w:kern w:val="16"/>
        </w:rPr>
        <w:t>The</w:t>
      </w:r>
      <w:r w:rsidR="00C158F0">
        <w:rPr>
          <w:kern w:val="16"/>
        </w:rPr>
        <w:t xml:space="preserve"> </w:t>
      </w:r>
      <w:r>
        <w:rPr>
          <w:kern w:val="16"/>
        </w:rPr>
        <w:t>cross-section</w:t>
      </w:r>
      <w:r w:rsidR="00C158F0">
        <w:rPr>
          <w:kern w:val="16"/>
        </w:rPr>
        <w:t xml:space="preserve"> </w:t>
      </w:r>
      <w:r>
        <w:rPr>
          <w:kern w:val="16"/>
        </w:rPr>
        <w:t>is optimized</w:t>
      </w:r>
      <w:r w:rsidR="00C158F0">
        <w:rPr>
          <w:kern w:val="16"/>
        </w:rPr>
        <w:t xml:space="preserve"> </w:t>
      </w:r>
      <w:r>
        <w:rPr>
          <w:kern w:val="16"/>
        </w:rPr>
        <w:t xml:space="preserve">by adjusting the </w:t>
      </w:r>
      <w:r w:rsidR="00C158F0">
        <w:rPr>
          <w:kern w:val="16"/>
        </w:rPr>
        <w:t xml:space="preserve">position and number of turns </w:t>
      </w:r>
      <w:r>
        <w:rPr>
          <w:kern w:val="16"/>
        </w:rPr>
        <w:t xml:space="preserve">in the conductor blocks. Two blocks (one wedge) </w:t>
      </w:r>
      <w:r w:rsidR="00714AA4">
        <w:rPr>
          <w:kern w:val="16"/>
        </w:rPr>
        <w:t xml:space="preserve">per layer </w:t>
      </w:r>
      <w:r>
        <w:rPr>
          <w:kern w:val="16"/>
        </w:rPr>
        <w:t>are sufficient to achieve</w:t>
      </w:r>
      <w:r w:rsidR="00C158F0">
        <w:rPr>
          <w:kern w:val="16"/>
        </w:rPr>
        <w:t xml:space="preserve"> very small </w:t>
      </w:r>
      <w:r>
        <w:rPr>
          <w:kern w:val="16"/>
        </w:rPr>
        <w:t>errors</w:t>
      </w:r>
      <w:r w:rsidR="00C158F0">
        <w:rPr>
          <w:kern w:val="16"/>
        </w:rPr>
        <w:t xml:space="preserve"> at a given operation point. Therefore, the straight section </w:t>
      </w:r>
      <w:r>
        <w:rPr>
          <w:kern w:val="16"/>
        </w:rPr>
        <w:t>field quality is</w:t>
      </w:r>
      <w:r w:rsidR="00C158F0">
        <w:rPr>
          <w:kern w:val="16"/>
        </w:rPr>
        <w:t xml:space="preserve"> dominated by geometric tolerances and current dependent effects. </w:t>
      </w:r>
    </w:p>
    <w:p w:rsidR="00A94573" w:rsidRDefault="00AE03CF" w:rsidP="004270D5">
      <w:pPr>
        <w:pStyle w:val="BodyTextIndent"/>
        <w:rPr>
          <w:rStyle w:val="CaptionChar"/>
          <w:rFonts w:ascii="Times New Roman" w:hAnsi="Times New Roman"/>
        </w:rPr>
      </w:pPr>
      <w:r>
        <w:rPr>
          <w:kern w:val="16"/>
        </w:rPr>
        <w:t xml:space="preserve">Field </w:t>
      </w:r>
      <w:r w:rsidRPr="0062323A">
        <w:rPr>
          <w:kern w:val="16"/>
        </w:rPr>
        <w:t xml:space="preserve">errors </w:t>
      </w:r>
      <w:r>
        <w:rPr>
          <w:kern w:val="16"/>
        </w:rPr>
        <w:t xml:space="preserve">due to coil positioning tolerances can be estimated </w:t>
      </w:r>
      <w:r w:rsidR="004270D5">
        <w:rPr>
          <w:kern w:val="16"/>
        </w:rPr>
        <w:t>with</w:t>
      </w:r>
      <w:r>
        <w:rPr>
          <w:kern w:val="16"/>
        </w:rPr>
        <w:t xml:space="preserve"> a Monte Carlo simulation where the conductor blocks are </w:t>
      </w:r>
      <w:r w:rsidR="007F09CA">
        <w:rPr>
          <w:kern w:val="16"/>
        </w:rPr>
        <w:t xml:space="preserve">randomly </w:t>
      </w:r>
      <w:r>
        <w:rPr>
          <w:kern w:val="16"/>
        </w:rPr>
        <w:t>displaced</w:t>
      </w:r>
      <w:r w:rsidR="003F0B4D">
        <w:rPr>
          <w:kern w:val="16"/>
        </w:rPr>
        <w:t xml:space="preserve">. </w:t>
      </w:r>
      <w:r w:rsidR="000D3A9E">
        <w:rPr>
          <w:kern w:val="16"/>
        </w:rPr>
        <w:t>Fig. 1</w:t>
      </w:r>
      <w:r w:rsidR="0048710C">
        <w:rPr>
          <w:kern w:val="16"/>
        </w:rPr>
        <w:t xml:space="preserve"> shows the </w:t>
      </w:r>
      <w:r w:rsidR="00B9379F">
        <w:rPr>
          <w:kern w:val="16"/>
        </w:rPr>
        <w:t>calculated standard deviations</w:t>
      </w:r>
      <w:r w:rsidR="0048710C">
        <w:rPr>
          <w:kern w:val="16"/>
        </w:rPr>
        <w:t xml:space="preserve"> for the electron quadrupole </w:t>
      </w:r>
      <w:r w:rsidR="00714663">
        <w:rPr>
          <w:kern w:val="16"/>
        </w:rPr>
        <w:t xml:space="preserve">(n=1, 10) </w:t>
      </w:r>
      <w:r w:rsidR="0048710C">
        <w:rPr>
          <w:kern w:val="16"/>
        </w:rPr>
        <w:t xml:space="preserve">and the first downstream ion quadrupole </w:t>
      </w:r>
      <w:r w:rsidR="00714663">
        <w:rPr>
          <w:kern w:val="16"/>
        </w:rPr>
        <w:t xml:space="preserve">(n=1, 6) </w:t>
      </w:r>
      <w:r w:rsidR="0048710C">
        <w:rPr>
          <w:kern w:val="16"/>
        </w:rPr>
        <w:t xml:space="preserve">using 500 samples </w:t>
      </w:r>
      <w:r w:rsidR="00B23E4F">
        <w:rPr>
          <w:kern w:val="16"/>
        </w:rPr>
        <w:t>and 16 displacements for each sample (</w:t>
      </w:r>
      <w:r w:rsidR="00B23E4F" w:rsidRPr="0048710C">
        <w:rPr>
          <w:rFonts w:ascii="Symbol" w:hAnsi="Symbol"/>
          <w:kern w:val="16"/>
        </w:rPr>
        <w:t></w:t>
      </w:r>
      <w:r w:rsidR="00B23E4F">
        <w:rPr>
          <w:kern w:val="16"/>
        </w:rPr>
        <w:t xml:space="preserve">r, </w:t>
      </w:r>
      <w:r w:rsidR="00B23E4F" w:rsidRPr="0048710C">
        <w:rPr>
          <w:rFonts w:ascii="Symbol" w:hAnsi="Symbol"/>
          <w:kern w:val="16"/>
        </w:rPr>
        <w:t></w:t>
      </w:r>
      <w:r w:rsidR="00B23E4F" w:rsidRPr="0048710C">
        <w:rPr>
          <w:rFonts w:ascii="Symbol" w:hAnsi="Symbol"/>
          <w:kern w:val="16"/>
        </w:rPr>
        <w:t></w:t>
      </w:r>
      <w:r w:rsidR="00B23E4F">
        <w:rPr>
          <w:kern w:val="16"/>
        </w:rPr>
        <w:t xml:space="preserve"> for 8 blocks)</w:t>
      </w:r>
      <w:r w:rsidR="0048710C">
        <w:rPr>
          <w:kern w:val="16"/>
        </w:rPr>
        <w:t xml:space="preserve">. </w:t>
      </w:r>
      <w:r w:rsidR="004270D5">
        <w:rPr>
          <w:rStyle w:val="CaptionChar"/>
          <w:rFonts w:ascii="Times New Roman" w:hAnsi="Times New Roman"/>
        </w:rPr>
        <w:t xml:space="preserve">This calculation </w:t>
      </w:r>
      <w:r w:rsidR="000D3A9E">
        <w:rPr>
          <w:rStyle w:val="CaptionChar"/>
          <w:rFonts w:ascii="Times New Roman" w:hAnsi="Times New Roman"/>
        </w:rPr>
        <w:t>may</w:t>
      </w:r>
      <w:r w:rsidR="004270D5">
        <w:rPr>
          <w:rStyle w:val="CaptionChar"/>
          <w:rFonts w:ascii="Times New Roman" w:hAnsi="Times New Roman"/>
        </w:rPr>
        <w:t xml:space="preserve"> also be used to estimate th</w:t>
      </w:r>
      <w:r w:rsidR="000D3A9E">
        <w:rPr>
          <w:rStyle w:val="CaptionChar"/>
          <w:rFonts w:ascii="Times New Roman" w:hAnsi="Times New Roman"/>
        </w:rPr>
        <w:t>e uncertainty on the systematic</w:t>
      </w:r>
      <w:r w:rsidR="004270D5">
        <w:rPr>
          <w:rStyle w:val="CaptionChar"/>
          <w:rFonts w:ascii="Times New Roman" w:hAnsi="Times New Roman"/>
        </w:rPr>
        <w:t xml:space="preserve"> [14]. </w:t>
      </w:r>
      <w:r w:rsidR="0048710C">
        <w:rPr>
          <w:kern w:val="16"/>
        </w:rPr>
        <w:t>A</w:t>
      </w:r>
      <w:r w:rsidR="003F0B4D">
        <w:rPr>
          <w:kern w:val="16"/>
        </w:rPr>
        <w:t xml:space="preserve"> flat distribution </w:t>
      </w:r>
      <w:r w:rsidR="003F0B4D">
        <w:rPr>
          <w:rStyle w:val="CaptionChar"/>
          <w:rFonts w:ascii="Times New Roman" w:hAnsi="Times New Roman"/>
        </w:rPr>
        <w:t xml:space="preserve">of </w:t>
      </w:r>
      <w:r w:rsidR="003F0B4D" w:rsidRPr="0062323A">
        <w:rPr>
          <w:kern w:val="16"/>
        </w:rPr>
        <w:t>±</w:t>
      </w:r>
      <w:r w:rsidR="003F0B4D">
        <w:rPr>
          <w:rStyle w:val="CaptionChar"/>
          <w:rFonts w:ascii="Times New Roman" w:hAnsi="Times New Roman"/>
        </w:rPr>
        <w:t xml:space="preserve">100 </w:t>
      </w:r>
      <w:r w:rsidR="003F0B4D" w:rsidRPr="00AE03CF">
        <w:rPr>
          <w:rStyle w:val="CaptionChar"/>
          <w:rFonts w:ascii="Symbol" w:hAnsi="Symbol"/>
        </w:rPr>
        <w:t></w:t>
      </w:r>
      <w:r w:rsidR="003F0B4D">
        <w:rPr>
          <w:rStyle w:val="CaptionChar"/>
          <w:rFonts w:ascii="Times New Roman" w:hAnsi="Times New Roman"/>
        </w:rPr>
        <w:t>m in radial and azimuthal direction was selected</w:t>
      </w:r>
      <w:r w:rsidR="00B23E4F">
        <w:rPr>
          <w:rStyle w:val="CaptionChar"/>
          <w:rFonts w:ascii="Times New Roman" w:hAnsi="Times New Roman"/>
        </w:rPr>
        <w:t xml:space="preserve"> for the displacements</w:t>
      </w:r>
      <w:r w:rsidR="003F0B4D">
        <w:rPr>
          <w:rStyle w:val="CaptionChar"/>
          <w:rFonts w:ascii="Times New Roman" w:hAnsi="Times New Roman"/>
        </w:rPr>
        <w:t>. While conduct</w:t>
      </w:r>
      <w:r w:rsidR="00DF0345">
        <w:rPr>
          <w:rStyle w:val="CaptionChar"/>
          <w:rFonts w:ascii="Times New Roman" w:hAnsi="Times New Roman"/>
        </w:rPr>
        <w:t>or positioning accuracy below</w:t>
      </w:r>
      <w:r>
        <w:rPr>
          <w:kern w:val="16"/>
        </w:rPr>
        <w:t xml:space="preserve"> </w:t>
      </w:r>
      <w:r w:rsidR="003F0B4D">
        <w:rPr>
          <w:rStyle w:val="CaptionChar"/>
          <w:rFonts w:ascii="Times New Roman" w:hAnsi="Times New Roman"/>
        </w:rPr>
        <w:t xml:space="preserve">50 </w:t>
      </w:r>
      <w:r w:rsidR="003F0B4D" w:rsidRPr="00AE03CF">
        <w:rPr>
          <w:rStyle w:val="CaptionChar"/>
          <w:rFonts w:ascii="Symbol" w:hAnsi="Symbol"/>
        </w:rPr>
        <w:t></w:t>
      </w:r>
      <w:r w:rsidR="003F0B4D">
        <w:rPr>
          <w:rStyle w:val="CaptionChar"/>
          <w:rFonts w:ascii="Times New Roman" w:hAnsi="Times New Roman"/>
        </w:rPr>
        <w:t xml:space="preserve">m has been routinely demonstrated in series production, </w:t>
      </w:r>
      <w:r w:rsidR="00DF0345">
        <w:rPr>
          <w:rStyle w:val="CaptionChar"/>
          <w:rFonts w:ascii="Times New Roman" w:hAnsi="Times New Roman"/>
        </w:rPr>
        <w:t>a larger value is chosen</w:t>
      </w:r>
      <w:r w:rsidR="003F0B4D">
        <w:rPr>
          <w:rStyle w:val="CaptionChar"/>
          <w:rFonts w:ascii="Times New Roman" w:hAnsi="Times New Roman"/>
        </w:rPr>
        <w:t xml:space="preserve"> to account for </w:t>
      </w:r>
      <w:r w:rsidR="00B23E4F">
        <w:rPr>
          <w:rStyle w:val="CaptionChar"/>
          <w:rFonts w:ascii="Times New Roman" w:hAnsi="Times New Roman"/>
        </w:rPr>
        <w:t>a</w:t>
      </w:r>
      <w:r w:rsidR="003F0B4D">
        <w:rPr>
          <w:rStyle w:val="CaptionChar"/>
          <w:rFonts w:ascii="Times New Roman" w:hAnsi="Times New Roman"/>
        </w:rPr>
        <w:t xml:space="preserve"> limited learning curve </w:t>
      </w:r>
      <w:r w:rsidR="00B23E4F">
        <w:rPr>
          <w:rStyle w:val="CaptionChar"/>
          <w:rFonts w:ascii="Times New Roman" w:hAnsi="Times New Roman"/>
        </w:rPr>
        <w:t xml:space="preserve">in JLEIC </w:t>
      </w:r>
      <w:r w:rsidR="003F0B4D">
        <w:rPr>
          <w:rStyle w:val="CaptionChar"/>
          <w:rFonts w:ascii="Times New Roman" w:hAnsi="Times New Roman"/>
        </w:rPr>
        <w:t xml:space="preserve">since only </w:t>
      </w:r>
      <w:r w:rsidR="00B23E4F">
        <w:rPr>
          <w:rStyle w:val="CaptionChar"/>
          <w:rFonts w:ascii="Times New Roman" w:hAnsi="Times New Roman"/>
        </w:rPr>
        <w:t xml:space="preserve">one (or </w:t>
      </w:r>
      <w:r w:rsidR="003F0B4D">
        <w:rPr>
          <w:rStyle w:val="CaptionChar"/>
          <w:rFonts w:ascii="Times New Roman" w:hAnsi="Times New Roman"/>
        </w:rPr>
        <w:t>few</w:t>
      </w:r>
      <w:r w:rsidR="00B23E4F">
        <w:rPr>
          <w:rStyle w:val="CaptionChar"/>
          <w:rFonts w:ascii="Times New Roman" w:hAnsi="Times New Roman"/>
        </w:rPr>
        <w:t>)</w:t>
      </w:r>
      <w:r w:rsidR="003F0B4D">
        <w:rPr>
          <w:rStyle w:val="CaptionChar"/>
          <w:rFonts w:ascii="Times New Roman" w:hAnsi="Times New Roman"/>
        </w:rPr>
        <w:t xml:space="preserve"> units</w:t>
      </w:r>
      <w:r w:rsidR="0048710C">
        <w:rPr>
          <w:rStyle w:val="CaptionChar"/>
          <w:rFonts w:ascii="Times New Roman" w:hAnsi="Times New Roman"/>
        </w:rPr>
        <w:t xml:space="preserve"> are required for e</w:t>
      </w:r>
      <w:r w:rsidR="00B23E4F">
        <w:rPr>
          <w:rStyle w:val="CaptionChar"/>
          <w:rFonts w:ascii="Times New Roman" w:hAnsi="Times New Roman"/>
        </w:rPr>
        <w:t>ach magnet</w:t>
      </w:r>
      <w:r w:rsidR="0048710C">
        <w:rPr>
          <w:rStyle w:val="CaptionChar"/>
          <w:rFonts w:ascii="Times New Roman" w:hAnsi="Times New Roman"/>
        </w:rPr>
        <w:t xml:space="preserve">. </w:t>
      </w:r>
      <w:r w:rsidR="001B2601">
        <w:rPr>
          <w:rStyle w:val="CaptionChar"/>
          <w:rFonts w:ascii="Times New Roman" w:hAnsi="Times New Roman"/>
        </w:rPr>
        <w:t>In order to improve the</w:t>
      </w:r>
      <w:r w:rsidR="0048710C">
        <w:rPr>
          <w:rStyle w:val="CaptionChar"/>
          <w:rFonts w:ascii="Times New Roman" w:hAnsi="Times New Roman"/>
        </w:rPr>
        <w:t xml:space="preserve"> field quality</w:t>
      </w:r>
      <w:r w:rsidR="001B2601">
        <w:rPr>
          <w:rStyle w:val="CaptionChar"/>
          <w:rFonts w:ascii="Times New Roman" w:hAnsi="Times New Roman"/>
        </w:rPr>
        <w:t>, a</w:t>
      </w:r>
      <w:r w:rsidR="0048710C">
        <w:rPr>
          <w:rStyle w:val="CaptionChar"/>
          <w:rFonts w:ascii="Times New Roman" w:hAnsi="Times New Roman"/>
        </w:rPr>
        <w:t xml:space="preserve"> correction </w:t>
      </w:r>
      <w:r w:rsidR="001B2601">
        <w:rPr>
          <w:rStyle w:val="CaptionChar"/>
          <w:rFonts w:ascii="Times New Roman" w:hAnsi="Times New Roman"/>
        </w:rPr>
        <w:t xml:space="preserve">scheme </w:t>
      </w:r>
      <w:r w:rsidR="0048710C">
        <w:rPr>
          <w:rStyle w:val="CaptionChar"/>
          <w:rFonts w:ascii="Times New Roman" w:hAnsi="Times New Roman"/>
        </w:rPr>
        <w:t>based on magnetic measurements performed after magnet assembly may be consid</w:t>
      </w:r>
      <w:r w:rsidR="001B2601">
        <w:rPr>
          <w:rStyle w:val="CaptionChar"/>
          <w:rFonts w:ascii="Times New Roman" w:hAnsi="Times New Roman"/>
        </w:rPr>
        <w:t>ered</w:t>
      </w:r>
      <w:r w:rsidR="004270D5">
        <w:rPr>
          <w:rStyle w:val="CaptionChar"/>
          <w:rFonts w:ascii="Times New Roman" w:hAnsi="Times New Roman"/>
        </w:rPr>
        <w:t xml:space="preserve"> [15</w:t>
      </w:r>
      <w:r w:rsidR="0048710C">
        <w:rPr>
          <w:rStyle w:val="CaptionChar"/>
          <w:rFonts w:ascii="Times New Roman" w:hAnsi="Times New Roman"/>
        </w:rPr>
        <w:t>]</w:t>
      </w:r>
      <w:r w:rsidR="00B23E4F">
        <w:rPr>
          <w:rStyle w:val="CaptionChar"/>
          <w:rFonts w:ascii="Times New Roman" w:hAnsi="Times New Roman"/>
        </w:rPr>
        <w:t xml:space="preserve">. </w:t>
      </w:r>
    </w:p>
    <w:p w:rsidR="00750C60" w:rsidRPr="00B23E4F" w:rsidRDefault="001304D5" w:rsidP="00B23E4F">
      <w:pPr>
        <w:pStyle w:val="JSubsectionHeading"/>
        <w:rPr>
          <w:rFonts w:cs="Times New Roman"/>
        </w:rPr>
      </w:pPr>
      <w:r>
        <w:rPr>
          <w:rFonts w:cs="Times New Roman"/>
        </w:rPr>
        <w:t xml:space="preserve">Iron saturation </w:t>
      </w:r>
    </w:p>
    <w:p w:rsidR="00714663" w:rsidRDefault="00415957" w:rsidP="009B3A2F">
      <w:pPr>
        <w:pStyle w:val="BodyTextIndent"/>
        <w:rPr>
          <w:kern w:val="16"/>
        </w:rPr>
      </w:pPr>
      <w:r>
        <w:rPr>
          <w:kern w:val="16"/>
        </w:rPr>
        <w:t>The saturation effect</w:t>
      </w:r>
      <w:r w:rsidR="00714663">
        <w:rPr>
          <w:kern w:val="16"/>
        </w:rPr>
        <w:t xml:space="preserve"> </w:t>
      </w:r>
      <w:r>
        <w:rPr>
          <w:kern w:val="16"/>
        </w:rPr>
        <w:t xml:space="preserve">is particularly relevant in the IR quadrupoles of JLEIC due to operation in a broad current range and space constraints limiting the iron yoke size. </w:t>
      </w:r>
    </w:p>
    <w:p w:rsidR="000D3A9E" w:rsidRPr="001A5233" w:rsidRDefault="000D3A9E" w:rsidP="000D3A9E">
      <w:pPr>
        <w:pStyle w:val="BodyTextIndent"/>
        <w:rPr>
          <w:kern w:val="16"/>
        </w:rPr>
      </w:pPr>
      <w:r>
        <w:rPr>
          <w:kern w:val="16"/>
        </w:rPr>
        <w:t>Figure 2 shows the results for the dodecapole (b</w:t>
      </w:r>
      <w:r w:rsidRPr="00F76DB7">
        <w:rPr>
          <w:kern w:val="16"/>
          <w:vertAlign w:val="subscript"/>
        </w:rPr>
        <w:t>6</w:t>
      </w:r>
      <w:r>
        <w:rPr>
          <w:kern w:val="16"/>
        </w:rPr>
        <w:t xml:space="preserve">) in the electron quadrupoles as a function of current and the yoke </w:t>
      </w:r>
      <w:r w:rsidR="004000E8">
        <w:rPr>
          <w:kern w:val="16"/>
        </w:rPr>
        <w:t xml:space="preserve">size. For yoke </w:t>
      </w:r>
      <w:r>
        <w:rPr>
          <w:kern w:val="16"/>
        </w:rPr>
        <w:t>outer radius</w:t>
      </w:r>
      <w:r w:rsidR="004000E8">
        <w:rPr>
          <w:kern w:val="16"/>
        </w:rPr>
        <w:t xml:space="preserve"> of 110 mm (or</w:t>
      </w:r>
      <w:r w:rsidR="00600C6D">
        <w:rPr>
          <w:kern w:val="16"/>
        </w:rPr>
        <w:t xml:space="preserve"> higher) no</w:t>
      </w:r>
      <w:r w:rsidR="004000E8">
        <w:rPr>
          <w:kern w:val="16"/>
        </w:rPr>
        <w:t xml:space="preserve"> effect</w:t>
      </w:r>
      <w:r w:rsidR="00600C6D">
        <w:rPr>
          <w:kern w:val="16"/>
        </w:rPr>
        <w:t xml:space="preserve"> is observed, but</w:t>
      </w:r>
      <w:r>
        <w:rPr>
          <w:kern w:val="16"/>
        </w:rPr>
        <w:t xml:space="preserve"> the variation with current </w:t>
      </w:r>
      <w:r w:rsidR="00600C6D">
        <w:rPr>
          <w:kern w:val="16"/>
        </w:rPr>
        <w:t>rapidly increases</w:t>
      </w:r>
      <w:r>
        <w:rPr>
          <w:kern w:val="16"/>
        </w:rPr>
        <w:t xml:space="preserve"> as the yoke size is reduced. It should be noted that a correction can be applied by adjusting the magnet cross section. Therefore, all curves may be shifted vertically by a fixed amount (assuming that the same coil design is used for all magnets) to optimize the DA. In case the saturation effect is found to be too large, a slight increase of the (still preliminary) space allocation for the innermost quadrupoles may be implemented. </w:t>
      </w:r>
    </w:p>
    <w:p w:rsidR="004270D5" w:rsidRDefault="004270D5" w:rsidP="009B3A2F">
      <w:pPr>
        <w:pStyle w:val="BodyTextIndent"/>
        <w:rPr>
          <w:kern w:val="16"/>
        </w:rPr>
      </w:pPr>
    </w:p>
    <w:p w:rsidR="00A170B3" w:rsidRPr="007F09CA" w:rsidRDefault="00404898" w:rsidP="00A170B3">
      <w:pPr>
        <w:pStyle w:val="BodyTextIndent"/>
        <w:ind w:firstLine="0"/>
        <w:jc w:val="left"/>
      </w:pPr>
      <w:r>
        <w:rPr>
          <w:noProof/>
          <w:lang w:val="en-US"/>
        </w:rPr>
        <w:lastRenderedPageBreak/>
        <w:drawing>
          <wp:inline distT="0" distB="0" distL="0" distR="0" wp14:anchorId="1FEFD8CD">
            <wp:extent cx="2936838" cy="205390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290" cy="2056315"/>
                    </a:xfrm>
                    <a:prstGeom prst="rect">
                      <a:avLst/>
                    </a:prstGeom>
                    <a:noFill/>
                  </pic:spPr>
                </pic:pic>
              </a:graphicData>
            </a:graphic>
          </wp:inline>
        </w:drawing>
      </w:r>
    </w:p>
    <w:p w:rsidR="00A170B3" w:rsidRPr="007D2718" w:rsidRDefault="00A170B3" w:rsidP="00A170B3">
      <w:pPr>
        <w:pStyle w:val="Caption"/>
        <w:jc w:val="left"/>
      </w:pPr>
      <w:r w:rsidRPr="007D2718">
        <w:t xml:space="preserve">Figure </w:t>
      </w:r>
      <w:r w:rsidR="000D3A9E">
        <w:t>2</w:t>
      </w:r>
      <w:r w:rsidRPr="007D2718">
        <w:rPr>
          <w:rStyle w:val="CaptionChar"/>
          <w:rFonts w:ascii="Times New Roman" w:hAnsi="Times New Roman"/>
        </w:rPr>
        <w:t xml:space="preserve">: </w:t>
      </w:r>
      <w:r w:rsidR="00AA0004">
        <w:rPr>
          <w:rStyle w:val="CaptionChar"/>
          <w:rFonts w:ascii="Times New Roman" w:hAnsi="Times New Roman"/>
        </w:rPr>
        <w:t>Saturation effect (</w:t>
      </w:r>
      <w:r>
        <w:rPr>
          <w:rStyle w:val="CaptionChar"/>
          <w:rFonts w:ascii="Times New Roman" w:hAnsi="Times New Roman"/>
        </w:rPr>
        <w:t>b</w:t>
      </w:r>
      <w:r w:rsidRPr="00A170B3">
        <w:rPr>
          <w:rStyle w:val="CaptionChar"/>
          <w:rFonts w:ascii="Times New Roman" w:hAnsi="Times New Roman"/>
          <w:vertAlign w:val="subscript"/>
        </w:rPr>
        <w:t>6</w:t>
      </w:r>
      <w:r w:rsidRPr="00A170B3">
        <w:rPr>
          <w:rStyle w:val="CaptionChar"/>
          <w:rFonts w:ascii="Times New Roman" w:hAnsi="Times New Roman"/>
          <w:szCs w:val="20"/>
        </w:rPr>
        <w:t xml:space="preserve"> </w:t>
      </w:r>
      <w:r w:rsidR="00AA0004">
        <w:rPr>
          <w:rStyle w:val="CaptionChar"/>
          <w:rFonts w:ascii="Times New Roman" w:hAnsi="Times New Roman"/>
          <w:szCs w:val="20"/>
        </w:rPr>
        <w:t xml:space="preserve">at </w:t>
      </w:r>
      <w:r>
        <w:rPr>
          <w:rStyle w:val="CaptionChar"/>
          <w:rFonts w:ascii="Times New Roman" w:hAnsi="Times New Roman"/>
          <w:szCs w:val="20"/>
        </w:rPr>
        <w:t>r</w:t>
      </w:r>
      <w:r w:rsidRPr="00A170B3">
        <w:rPr>
          <w:rStyle w:val="CaptionChar"/>
          <w:rFonts w:ascii="Times New Roman" w:hAnsi="Times New Roman"/>
          <w:szCs w:val="20"/>
          <w:vertAlign w:val="subscript"/>
        </w:rPr>
        <w:t>0</w:t>
      </w:r>
      <w:r>
        <w:rPr>
          <w:rStyle w:val="CaptionChar"/>
          <w:rFonts w:ascii="Times New Roman" w:hAnsi="Times New Roman"/>
        </w:rPr>
        <w:t xml:space="preserve">=35mm) in the electron quadrupole as a function of current and </w:t>
      </w:r>
      <w:r w:rsidR="00F76DB7">
        <w:rPr>
          <w:rStyle w:val="CaptionChar"/>
          <w:rFonts w:ascii="Times New Roman" w:hAnsi="Times New Roman"/>
        </w:rPr>
        <w:t>yoke o</w:t>
      </w:r>
      <w:r>
        <w:rPr>
          <w:rStyle w:val="CaptionChar"/>
          <w:rFonts w:ascii="Times New Roman" w:hAnsi="Times New Roman"/>
        </w:rPr>
        <w:t>uter radius.</w:t>
      </w:r>
    </w:p>
    <w:p w:rsidR="001A5233" w:rsidRPr="00B23E4F" w:rsidRDefault="00AA0004" w:rsidP="001A5233">
      <w:pPr>
        <w:pStyle w:val="JSubsectionHeading"/>
        <w:rPr>
          <w:rFonts w:cs="Times New Roman"/>
        </w:rPr>
      </w:pPr>
      <w:r>
        <w:rPr>
          <w:rFonts w:cs="Times New Roman"/>
        </w:rPr>
        <w:t>Fringe F</w:t>
      </w:r>
      <w:r w:rsidR="001A5233">
        <w:rPr>
          <w:rFonts w:cs="Times New Roman"/>
        </w:rPr>
        <w:t xml:space="preserve">ields </w:t>
      </w:r>
    </w:p>
    <w:p w:rsidR="00292199" w:rsidRDefault="00A66356" w:rsidP="00292199">
      <w:pPr>
        <w:pStyle w:val="BodyTextIndent"/>
        <w:rPr>
          <w:kern w:val="16"/>
        </w:rPr>
      </w:pPr>
      <w:r>
        <w:rPr>
          <w:kern w:val="16"/>
        </w:rPr>
        <w:t>T</w:t>
      </w:r>
      <w:r w:rsidR="001A5233">
        <w:rPr>
          <w:kern w:val="16"/>
        </w:rPr>
        <w:t xml:space="preserve">ransverse space constraints also limit the </w:t>
      </w:r>
      <w:r w:rsidR="00DF0345">
        <w:rPr>
          <w:kern w:val="16"/>
        </w:rPr>
        <w:t xml:space="preserve">capability </w:t>
      </w:r>
      <w:r w:rsidR="001A5233">
        <w:rPr>
          <w:kern w:val="16"/>
        </w:rPr>
        <w:t xml:space="preserve">to return the magnetic flux. In this case the main concern is the effect of the high field, large aperture </w:t>
      </w:r>
      <w:r w:rsidR="001304D5">
        <w:rPr>
          <w:kern w:val="16"/>
        </w:rPr>
        <w:t xml:space="preserve">ion </w:t>
      </w:r>
      <w:r w:rsidR="00292199">
        <w:rPr>
          <w:kern w:val="16"/>
        </w:rPr>
        <w:t>quadrupole</w:t>
      </w:r>
      <w:r w:rsidR="001304D5">
        <w:rPr>
          <w:kern w:val="16"/>
        </w:rPr>
        <w:t xml:space="preserve"> </w:t>
      </w:r>
      <w:r w:rsidR="001A5233">
        <w:rPr>
          <w:kern w:val="16"/>
        </w:rPr>
        <w:t xml:space="preserve">fringe fields on the adjacent </w:t>
      </w:r>
      <w:r w:rsidR="001304D5">
        <w:rPr>
          <w:kern w:val="16"/>
        </w:rPr>
        <w:t>electron beamline</w:t>
      </w:r>
      <w:r w:rsidR="004000E8">
        <w:rPr>
          <w:kern w:val="16"/>
        </w:rPr>
        <w:t>. Fig. 3</w:t>
      </w:r>
      <w:r w:rsidR="00292199">
        <w:rPr>
          <w:kern w:val="16"/>
        </w:rPr>
        <w:t xml:space="preserve"> shows the results for the downstream ion quadrupoles. The largest effect is found in IQDS1b due to a combination of aperture, gradient and radial yoke size. The effect on the electron beam needs to be evaluated from an optics and synchrotron radiation standpoint. Possible mitigation strategies include integrating the electron beamline in the iron yoke of the ion quadrupole, or placing an active correction coil or passive shield around the electron beam</w:t>
      </w:r>
      <w:r w:rsidR="00E15092">
        <w:rPr>
          <w:kern w:val="16"/>
        </w:rPr>
        <w:t>.</w:t>
      </w:r>
      <w:r w:rsidR="00292199">
        <w:rPr>
          <w:kern w:val="16"/>
        </w:rPr>
        <w:t xml:space="preserve">    </w:t>
      </w:r>
    </w:p>
    <w:p w:rsidR="00292199" w:rsidRDefault="001A5233" w:rsidP="00E15092">
      <w:pPr>
        <w:pStyle w:val="BodyTextIndent"/>
        <w:rPr>
          <w:kern w:val="16"/>
        </w:rPr>
      </w:pPr>
      <w:r>
        <w:rPr>
          <w:kern w:val="16"/>
        </w:rPr>
        <w:t xml:space="preserve"> </w:t>
      </w:r>
    </w:p>
    <w:p w:rsidR="00292199" w:rsidRPr="007F09CA" w:rsidRDefault="0088685D" w:rsidP="00292199">
      <w:pPr>
        <w:pStyle w:val="BodyTextIndent"/>
        <w:ind w:firstLine="0"/>
        <w:jc w:val="left"/>
      </w:pPr>
      <w:r>
        <w:rPr>
          <w:noProof/>
          <w:lang w:val="en-US"/>
        </w:rPr>
        <w:drawing>
          <wp:inline distT="0" distB="0" distL="0" distR="0" wp14:anchorId="65AAD31F">
            <wp:extent cx="2937753" cy="199797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213" cy="1997606"/>
                    </a:xfrm>
                    <a:prstGeom prst="rect">
                      <a:avLst/>
                    </a:prstGeom>
                    <a:noFill/>
                  </pic:spPr>
                </pic:pic>
              </a:graphicData>
            </a:graphic>
          </wp:inline>
        </w:drawing>
      </w:r>
    </w:p>
    <w:p w:rsidR="00292199" w:rsidRPr="00E15092" w:rsidRDefault="00292199" w:rsidP="00A66356">
      <w:pPr>
        <w:pStyle w:val="Caption"/>
        <w:jc w:val="both"/>
      </w:pPr>
      <w:r w:rsidRPr="007D2718">
        <w:t xml:space="preserve">Figure </w:t>
      </w:r>
      <w:r w:rsidR="004000E8">
        <w:t>3</w:t>
      </w:r>
      <w:r w:rsidRPr="007D2718">
        <w:rPr>
          <w:rStyle w:val="CaptionChar"/>
          <w:rFonts w:ascii="Times New Roman" w:hAnsi="Times New Roman"/>
        </w:rPr>
        <w:t xml:space="preserve">: </w:t>
      </w:r>
      <w:r w:rsidR="00C93D07">
        <w:rPr>
          <w:rStyle w:val="CaptionChar"/>
          <w:rFonts w:ascii="Times New Roman" w:hAnsi="Times New Roman"/>
        </w:rPr>
        <w:t xml:space="preserve">Fringe field at </w:t>
      </w:r>
      <w:r w:rsidR="005820D8">
        <w:rPr>
          <w:rStyle w:val="CaptionChar"/>
          <w:rFonts w:ascii="Times New Roman" w:hAnsi="Times New Roman"/>
        </w:rPr>
        <w:t>reference</w:t>
      </w:r>
      <w:r w:rsidR="00C93D07">
        <w:rPr>
          <w:rStyle w:val="CaptionChar"/>
          <w:rFonts w:ascii="Times New Roman" w:hAnsi="Times New Roman"/>
        </w:rPr>
        <w:t xml:space="preserve"> gradient</w:t>
      </w:r>
      <w:r w:rsidR="00A66356">
        <w:rPr>
          <w:rStyle w:val="CaptionChar"/>
          <w:rFonts w:ascii="Times New Roman" w:hAnsi="Times New Roman"/>
        </w:rPr>
        <w:t xml:space="preserve"> in the downstream ion quadrupoles (</w:t>
      </w:r>
      <w:r w:rsidR="00F57635">
        <w:rPr>
          <w:rStyle w:val="CaptionChar"/>
          <w:rFonts w:ascii="Times New Roman" w:hAnsi="Times New Roman"/>
        </w:rPr>
        <w:t xml:space="preserve">field </w:t>
      </w:r>
      <w:r w:rsidR="00E4764B">
        <w:rPr>
          <w:rStyle w:val="CaptionChar"/>
          <w:rFonts w:ascii="Times New Roman" w:hAnsi="Times New Roman"/>
        </w:rPr>
        <w:t xml:space="preserve">is </w:t>
      </w:r>
      <w:r w:rsidR="00A66356">
        <w:rPr>
          <w:rStyle w:val="CaptionChar"/>
          <w:rFonts w:ascii="Times New Roman" w:hAnsi="Times New Roman"/>
        </w:rPr>
        <w:t>plotted along dotted line)</w:t>
      </w:r>
      <w:r w:rsidR="00C93D07">
        <w:rPr>
          <w:rStyle w:val="CaptionChar"/>
          <w:rFonts w:ascii="Times New Roman" w:hAnsi="Times New Roman"/>
        </w:rPr>
        <w:t>.</w:t>
      </w:r>
    </w:p>
    <w:p w:rsidR="00750C60" w:rsidRPr="007D2718" w:rsidRDefault="00AA0004" w:rsidP="00750C60">
      <w:pPr>
        <w:pStyle w:val="JSubsectionHeading"/>
        <w:rPr>
          <w:rFonts w:cs="Times New Roman"/>
        </w:rPr>
      </w:pPr>
      <w:r>
        <w:rPr>
          <w:rFonts w:cs="Times New Roman"/>
        </w:rPr>
        <w:t>Coil E</w:t>
      </w:r>
      <w:r w:rsidR="00404898">
        <w:rPr>
          <w:rFonts w:cs="Times New Roman"/>
        </w:rPr>
        <w:t>nds</w:t>
      </w:r>
    </w:p>
    <w:p w:rsidR="001B5A3F" w:rsidRDefault="00261400" w:rsidP="009E466E">
      <w:pPr>
        <w:pStyle w:val="BodyTextIndent"/>
        <w:rPr>
          <w:kern w:val="16"/>
        </w:rPr>
      </w:pPr>
      <w:r>
        <w:rPr>
          <w:kern w:val="16"/>
        </w:rPr>
        <w:t xml:space="preserve">Large field errors are generated in the </w:t>
      </w:r>
      <w:r w:rsidR="00A94B77">
        <w:rPr>
          <w:kern w:val="16"/>
        </w:rPr>
        <w:t>coil ends as the conductor</w:t>
      </w:r>
      <w:r>
        <w:rPr>
          <w:kern w:val="16"/>
        </w:rPr>
        <w:t xml:space="preserve">s are lifted and bent around the pole to </w:t>
      </w:r>
      <w:r w:rsidR="002E1B9E">
        <w:rPr>
          <w:kern w:val="16"/>
        </w:rPr>
        <w:t xml:space="preserve">return the current without </w:t>
      </w:r>
      <w:r>
        <w:rPr>
          <w:kern w:val="16"/>
        </w:rPr>
        <w:t xml:space="preserve">interfering with the beam pipe. These errors </w:t>
      </w:r>
      <w:r w:rsidR="00A94B77">
        <w:rPr>
          <w:kern w:val="16"/>
        </w:rPr>
        <w:t>may</w:t>
      </w:r>
      <w:r>
        <w:rPr>
          <w:kern w:val="16"/>
        </w:rPr>
        <w:t xml:space="preserve"> be correct</w:t>
      </w:r>
      <w:r w:rsidR="002E1B9E">
        <w:rPr>
          <w:kern w:val="16"/>
        </w:rPr>
        <w:t xml:space="preserve">ed at the integral level within the end region by splitting and </w:t>
      </w:r>
      <w:r w:rsidR="002E1B9E">
        <w:rPr>
          <w:kern w:val="16"/>
        </w:rPr>
        <w:lastRenderedPageBreak/>
        <w:t xml:space="preserve">displacing the conductor blocks relative to each other. However, this approach comes at the cost of increased complexity and </w:t>
      </w:r>
      <w:r w:rsidR="003F5701">
        <w:rPr>
          <w:kern w:val="16"/>
        </w:rPr>
        <w:t xml:space="preserve">magnet </w:t>
      </w:r>
      <w:r w:rsidR="009E466E">
        <w:rPr>
          <w:kern w:val="16"/>
        </w:rPr>
        <w:t>physical length</w:t>
      </w:r>
      <w:r w:rsidR="002E1B9E">
        <w:rPr>
          <w:kern w:val="16"/>
        </w:rPr>
        <w:t xml:space="preserve">. Using the first downstream ion quad as a reference (Fig. </w:t>
      </w:r>
      <w:r w:rsidR="004000E8">
        <w:rPr>
          <w:kern w:val="16"/>
        </w:rPr>
        <w:t>4</w:t>
      </w:r>
      <w:r w:rsidR="002E1B9E">
        <w:rPr>
          <w:kern w:val="16"/>
        </w:rPr>
        <w:t>), we show an example of this process applied to the b</w:t>
      </w:r>
      <w:r w:rsidR="002E1B9E" w:rsidRPr="002E1B9E">
        <w:rPr>
          <w:kern w:val="16"/>
          <w:vertAlign w:val="subscript"/>
        </w:rPr>
        <w:t>6</w:t>
      </w:r>
      <w:r w:rsidR="00A94B77">
        <w:rPr>
          <w:kern w:val="16"/>
        </w:rPr>
        <w:t xml:space="preserve"> component</w:t>
      </w:r>
      <w:r w:rsidR="00BA3370">
        <w:rPr>
          <w:kern w:val="16"/>
        </w:rPr>
        <w:t xml:space="preserve"> (Fig. 5)</w:t>
      </w:r>
      <w:r w:rsidR="00A94B77">
        <w:rPr>
          <w:kern w:val="16"/>
        </w:rPr>
        <w:t>. In t</w:t>
      </w:r>
      <w:r w:rsidR="00BA3370">
        <w:rPr>
          <w:kern w:val="16"/>
        </w:rPr>
        <w:t>he case of a compact end</w:t>
      </w:r>
      <w:r w:rsidR="008F2938">
        <w:rPr>
          <w:kern w:val="16"/>
        </w:rPr>
        <w:t>,</w:t>
      </w:r>
      <w:r w:rsidR="00A94B77">
        <w:rPr>
          <w:kern w:val="16"/>
        </w:rPr>
        <w:t xml:space="preserve"> b</w:t>
      </w:r>
      <w:r w:rsidR="00A94B77" w:rsidRPr="00A94B77">
        <w:rPr>
          <w:kern w:val="16"/>
          <w:vertAlign w:val="subscript"/>
        </w:rPr>
        <w:t>6</w:t>
      </w:r>
      <w:r w:rsidR="00A94B77">
        <w:rPr>
          <w:kern w:val="16"/>
        </w:rPr>
        <w:t xml:space="preserve"> reaches a peak of -280 units</w:t>
      </w:r>
      <w:r w:rsidR="008F2938">
        <w:rPr>
          <w:kern w:val="16"/>
        </w:rPr>
        <w:t>, or -</w:t>
      </w:r>
      <w:r w:rsidR="00A94B77" w:rsidRPr="00A94B77">
        <w:rPr>
          <w:kern w:val="16"/>
        </w:rPr>
        <w:t>43.3 units integrated over a magnetic length (straight section equivalent) of 406.3 mm</w:t>
      </w:r>
      <w:r w:rsidR="00A94B77">
        <w:rPr>
          <w:kern w:val="16"/>
        </w:rPr>
        <w:t xml:space="preserve">. </w:t>
      </w:r>
      <w:r w:rsidR="005820D8">
        <w:rPr>
          <w:kern w:val="16"/>
        </w:rPr>
        <w:t>By displacing the mid-plane</w:t>
      </w:r>
      <w:r w:rsidR="001B5A3F">
        <w:rPr>
          <w:kern w:val="16"/>
        </w:rPr>
        <w:t xml:space="preserve"> conductor block by 53 mm</w:t>
      </w:r>
      <w:r w:rsidR="005820D8">
        <w:rPr>
          <w:kern w:val="16"/>
        </w:rPr>
        <w:t xml:space="preserve"> relative to the pole block</w:t>
      </w:r>
      <w:r w:rsidR="001B5A3F">
        <w:rPr>
          <w:kern w:val="16"/>
        </w:rPr>
        <w:t xml:space="preserve">, two narrower peaks appear with opposing sign and the integral is essentially zero. </w:t>
      </w:r>
      <w:r w:rsidR="00E704D6">
        <w:rPr>
          <w:kern w:val="16"/>
        </w:rPr>
        <w:t>However</w:t>
      </w:r>
      <w:r w:rsidR="008F2938">
        <w:rPr>
          <w:kern w:val="16"/>
        </w:rPr>
        <w:t>,</w:t>
      </w:r>
      <w:r w:rsidR="00E704D6">
        <w:rPr>
          <w:kern w:val="16"/>
        </w:rPr>
        <w:t xml:space="preserve"> </w:t>
      </w:r>
      <w:r w:rsidR="001B5A3F">
        <w:rPr>
          <w:kern w:val="16"/>
        </w:rPr>
        <w:t xml:space="preserve">the </w:t>
      </w:r>
      <w:r w:rsidR="003F5701">
        <w:rPr>
          <w:kern w:val="16"/>
        </w:rPr>
        <w:t>quadrupole field</w:t>
      </w:r>
      <w:r w:rsidR="001B5A3F">
        <w:rPr>
          <w:kern w:val="16"/>
        </w:rPr>
        <w:t xml:space="preserve"> </w:t>
      </w:r>
      <w:r w:rsidR="003F5701">
        <w:rPr>
          <w:kern w:val="16"/>
        </w:rPr>
        <w:t xml:space="preserve">decays more slowly </w:t>
      </w:r>
      <w:r w:rsidR="003F5701" w:rsidRPr="003F5701">
        <w:rPr>
          <w:kern w:val="16"/>
        </w:rPr>
        <w:t>in the opti</w:t>
      </w:r>
      <w:r w:rsidR="003F5701">
        <w:rPr>
          <w:kern w:val="16"/>
        </w:rPr>
        <w:t>mized end. B</w:t>
      </w:r>
      <w:r w:rsidR="001B5A3F">
        <w:rPr>
          <w:kern w:val="16"/>
        </w:rPr>
        <w:t>y computing the difference between physical and magnetic length in the two cases, it can be shown that an additional 17 mm per side is required to achieve the required magnetic length. The next component, b</w:t>
      </w:r>
      <w:r w:rsidR="001B5A3F" w:rsidRPr="00D25C5F">
        <w:rPr>
          <w:kern w:val="16"/>
          <w:vertAlign w:val="subscript"/>
        </w:rPr>
        <w:t>10</w:t>
      </w:r>
      <w:r w:rsidR="001B5A3F">
        <w:rPr>
          <w:kern w:val="16"/>
        </w:rPr>
        <w:t>, is essentially unaffected with a -30 unit</w:t>
      </w:r>
      <w:r w:rsidR="001B5A3F" w:rsidRPr="00A94B77">
        <w:rPr>
          <w:kern w:val="16"/>
        </w:rPr>
        <w:t xml:space="preserve"> peak, or -3.1 units integrated over 406.3 mm</w:t>
      </w:r>
      <w:r w:rsidR="001B5A3F">
        <w:rPr>
          <w:kern w:val="16"/>
        </w:rPr>
        <w:t>. In order to correct b</w:t>
      </w:r>
      <w:r w:rsidR="001B5A3F" w:rsidRPr="00D25C5F">
        <w:rPr>
          <w:kern w:val="16"/>
          <w:vertAlign w:val="subscript"/>
        </w:rPr>
        <w:t>10</w:t>
      </w:r>
      <w:r w:rsidR="001B5A3F">
        <w:rPr>
          <w:kern w:val="16"/>
        </w:rPr>
        <w:t xml:space="preserve"> the blocks need to be split at an appropriate location and additional displacements need to be introduced. </w:t>
      </w:r>
    </w:p>
    <w:p w:rsidR="003F5701" w:rsidRDefault="001B5A3F" w:rsidP="001B5A3F">
      <w:pPr>
        <w:pStyle w:val="BodyTextIndent"/>
        <w:rPr>
          <w:kern w:val="16"/>
        </w:rPr>
      </w:pPr>
      <w:r>
        <w:rPr>
          <w:kern w:val="16"/>
        </w:rPr>
        <w:t>A more attractive alternative is to compensate the integrated end harmonics with opposite values in the straight section. This strategy has essentially no cost in terms of magnet design and fabrication, but should be evaluated from an accelerator physics standpoint as the correction is achieved over a much longer distance.</w:t>
      </w:r>
    </w:p>
    <w:p w:rsidR="001B5A3F" w:rsidRPr="003F5701" w:rsidRDefault="001B5A3F" w:rsidP="001B5A3F">
      <w:pPr>
        <w:pStyle w:val="BodyTextIndent"/>
        <w:rPr>
          <w:rFonts w:ascii="Arial" w:hAnsi="Arial" w:cs="Arial"/>
          <w:kern w:val="16"/>
          <w:sz w:val="8"/>
          <w:szCs w:val="8"/>
        </w:rPr>
      </w:pPr>
      <w:r w:rsidRPr="003F5701">
        <w:rPr>
          <w:kern w:val="16"/>
          <w:sz w:val="8"/>
          <w:szCs w:val="8"/>
        </w:rPr>
        <w:t xml:space="preserve"> </w:t>
      </w:r>
    </w:p>
    <w:p w:rsidR="009E466E" w:rsidRPr="009E466E" w:rsidRDefault="009E466E" w:rsidP="009E466E">
      <w:pPr>
        <w:pStyle w:val="BodyTextIndent"/>
        <w:rPr>
          <w:kern w:val="16"/>
          <w:sz w:val="8"/>
          <w:szCs w:val="8"/>
        </w:rPr>
      </w:pPr>
    </w:p>
    <w:p w:rsidR="007A6BA3" w:rsidRPr="007F09CA" w:rsidRDefault="00B1190F" w:rsidP="00395A07">
      <w:pPr>
        <w:pStyle w:val="BodyTextIndent"/>
        <w:ind w:firstLine="0"/>
        <w:jc w:val="center"/>
      </w:pPr>
      <w:r>
        <w:rPr>
          <w:noProof/>
          <w:lang w:val="en-US"/>
        </w:rPr>
        <w:drawing>
          <wp:inline distT="0" distB="0" distL="0" distR="0" wp14:anchorId="41F8AA08">
            <wp:extent cx="2956817" cy="1680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7527" cy="1680922"/>
                    </a:xfrm>
                    <a:prstGeom prst="rect">
                      <a:avLst/>
                    </a:prstGeom>
                    <a:noFill/>
                  </pic:spPr>
                </pic:pic>
              </a:graphicData>
            </a:graphic>
          </wp:inline>
        </w:drawing>
      </w:r>
    </w:p>
    <w:p w:rsidR="007A6BA3" w:rsidRDefault="007A6BA3" w:rsidP="00C93D07">
      <w:pPr>
        <w:pStyle w:val="Caption"/>
        <w:rPr>
          <w:rStyle w:val="CaptionChar"/>
          <w:rFonts w:ascii="Times New Roman" w:hAnsi="Times New Roman"/>
        </w:rPr>
      </w:pPr>
      <w:r w:rsidRPr="007D2718">
        <w:t xml:space="preserve">Figure </w:t>
      </w:r>
      <w:r w:rsidR="004000E8">
        <w:t>4</w:t>
      </w:r>
      <w:r w:rsidR="00AC0EA0">
        <w:rPr>
          <w:rStyle w:val="CaptionChar"/>
          <w:rFonts w:ascii="Times New Roman" w:hAnsi="Times New Roman"/>
        </w:rPr>
        <w:t xml:space="preserve">: </w:t>
      </w:r>
      <w:r w:rsidR="005820D8">
        <w:rPr>
          <w:rStyle w:val="CaptionChar"/>
          <w:rFonts w:ascii="Times New Roman" w:hAnsi="Times New Roman"/>
        </w:rPr>
        <w:t>C</w:t>
      </w:r>
      <w:r w:rsidR="00AC0EA0">
        <w:rPr>
          <w:rStyle w:val="CaptionChar"/>
          <w:rFonts w:ascii="Times New Roman" w:hAnsi="Times New Roman"/>
        </w:rPr>
        <w:t>oil</w:t>
      </w:r>
      <w:r w:rsidR="009933FB">
        <w:rPr>
          <w:rStyle w:val="CaptionChar"/>
          <w:rFonts w:ascii="Times New Roman" w:hAnsi="Times New Roman"/>
        </w:rPr>
        <w:t xml:space="preserve"> </w:t>
      </w:r>
      <w:r>
        <w:rPr>
          <w:rStyle w:val="CaptionChar"/>
          <w:rFonts w:ascii="Times New Roman" w:hAnsi="Times New Roman"/>
        </w:rPr>
        <w:t xml:space="preserve">and yoke </w:t>
      </w:r>
      <w:r w:rsidR="00AC0EA0">
        <w:rPr>
          <w:rStyle w:val="CaptionChar"/>
          <w:rFonts w:ascii="Times New Roman" w:hAnsi="Times New Roman"/>
        </w:rPr>
        <w:t xml:space="preserve">model </w:t>
      </w:r>
      <w:r w:rsidR="005820D8">
        <w:rPr>
          <w:rStyle w:val="CaptionChar"/>
          <w:rFonts w:ascii="Times New Roman" w:hAnsi="Times New Roman"/>
        </w:rPr>
        <w:t xml:space="preserve">for iQDS1a </w:t>
      </w:r>
      <w:r w:rsidR="00C93D07">
        <w:rPr>
          <w:rStyle w:val="CaptionChar"/>
          <w:rFonts w:ascii="Times New Roman" w:hAnsi="Times New Roman"/>
        </w:rPr>
        <w:t>3D</w:t>
      </w:r>
      <w:r w:rsidR="00AC0EA0">
        <w:rPr>
          <w:rStyle w:val="CaptionChar"/>
          <w:rFonts w:ascii="Times New Roman" w:hAnsi="Times New Roman"/>
        </w:rPr>
        <w:t xml:space="preserve"> </w:t>
      </w:r>
      <w:r>
        <w:rPr>
          <w:rStyle w:val="CaptionChar"/>
          <w:rFonts w:ascii="Times New Roman" w:hAnsi="Times New Roman"/>
        </w:rPr>
        <w:t>analysis</w:t>
      </w:r>
      <w:r w:rsidR="00AC0EA0">
        <w:rPr>
          <w:rStyle w:val="CaptionChar"/>
          <w:rFonts w:ascii="Times New Roman" w:hAnsi="Times New Roman"/>
        </w:rPr>
        <w:t>.</w:t>
      </w:r>
    </w:p>
    <w:p w:rsidR="00C93D07" w:rsidRPr="003F5701" w:rsidRDefault="00C93D07" w:rsidP="00C93D07">
      <w:pPr>
        <w:rPr>
          <w:rFonts w:ascii="Arial" w:hAnsi="Arial" w:cs="Arial"/>
          <w:sz w:val="14"/>
          <w:szCs w:val="14"/>
        </w:rPr>
      </w:pPr>
    </w:p>
    <w:p w:rsidR="00F57635" w:rsidRPr="007F09CA" w:rsidRDefault="009E466E" w:rsidP="00F57635">
      <w:pPr>
        <w:pStyle w:val="BodyTextIndent"/>
        <w:ind w:firstLine="0"/>
        <w:jc w:val="left"/>
      </w:pPr>
      <w:r>
        <w:rPr>
          <w:noProof/>
          <w:lang w:val="en-US"/>
        </w:rPr>
        <w:lastRenderedPageBreak/>
        <w:drawing>
          <wp:inline distT="0" distB="0" distL="0" distR="0" wp14:anchorId="40F95B00" wp14:editId="3924E325">
            <wp:extent cx="2941142" cy="20729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094" cy="2080000"/>
                    </a:xfrm>
                    <a:prstGeom prst="rect">
                      <a:avLst/>
                    </a:prstGeom>
                    <a:noFill/>
                  </pic:spPr>
                </pic:pic>
              </a:graphicData>
            </a:graphic>
          </wp:inline>
        </w:drawing>
      </w:r>
    </w:p>
    <w:p w:rsidR="00F57635" w:rsidRPr="00A94B77" w:rsidRDefault="00F57635" w:rsidP="00A94B77">
      <w:pPr>
        <w:pStyle w:val="Caption"/>
        <w:jc w:val="both"/>
      </w:pPr>
      <w:r w:rsidRPr="007D2718">
        <w:t xml:space="preserve">Figure </w:t>
      </w:r>
      <w:r w:rsidR="004000E8">
        <w:t>5</w:t>
      </w:r>
      <w:r w:rsidRPr="007D2718">
        <w:rPr>
          <w:rStyle w:val="CaptionChar"/>
          <w:rFonts w:ascii="Times New Roman" w:hAnsi="Times New Roman"/>
        </w:rPr>
        <w:t xml:space="preserve">: </w:t>
      </w:r>
      <w:r w:rsidR="00C93D07">
        <w:rPr>
          <w:rStyle w:val="CaptionChar"/>
          <w:rFonts w:ascii="Times New Roman" w:hAnsi="Times New Roman"/>
        </w:rPr>
        <w:t xml:space="preserve">Comparison of </w:t>
      </w:r>
      <w:r w:rsidR="002E1B9E">
        <w:rPr>
          <w:rStyle w:val="CaptionChar"/>
          <w:rFonts w:ascii="Times New Roman" w:hAnsi="Times New Roman"/>
        </w:rPr>
        <w:t>b</w:t>
      </w:r>
      <w:r w:rsidR="002E1B9E" w:rsidRPr="00686DBD">
        <w:rPr>
          <w:rStyle w:val="CaptionChar"/>
          <w:rFonts w:ascii="Times New Roman" w:hAnsi="Times New Roman"/>
          <w:vertAlign w:val="subscript"/>
        </w:rPr>
        <w:t>6</w:t>
      </w:r>
      <w:r w:rsidR="002E1B9E">
        <w:rPr>
          <w:rStyle w:val="CaptionChar"/>
          <w:rFonts w:ascii="Times New Roman" w:hAnsi="Times New Roman"/>
        </w:rPr>
        <w:t xml:space="preserve"> as a function of </w:t>
      </w:r>
      <w:r w:rsidR="002E1B9E" w:rsidRPr="00976F0B">
        <w:rPr>
          <w:rStyle w:val="CaptionChar"/>
          <w:rFonts w:ascii="Times New Roman" w:hAnsi="Times New Roman"/>
          <w:i/>
        </w:rPr>
        <w:t>z</w:t>
      </w:r>
      <w:r w:rsidR="002E1B9E">
        <w:rPr>
          <w:rStyle w:val="CaptionChar"/>
          <w:rFonts w:ascii="Times New Roman" w:hAnsi="Times New Roman"/>
        </w:rPr>
        <w:t xml:space="preserve"> </w:t>
      </w:r>
      <w:r w:rsidR="00C93D07">
        <w:rPr>
          <w:rStyle w:val="CaptionChar"/>
          <w:rFonts w:ascii="Times New Roman" w:hAnsi="Times New Roman"/>
        </w:rPr>
        <w:t xml:space="preserve">in iQDS1a </w:t>
      </w:r>
      <w:r w:rsidR="002E1B9E">
        <w:rPr>
          <w:rStyle w:val="CaptionChar"/>
          <w:rFonts w:ascii="Times New Roman" w:hAnsi="Times New Roman"/>
        </w:rPr>
        <w:t xml:space="preserve">for the compact </w:t>
      </w:r>
      <w:r w:rsidR="00C93D07">
        <w:rPr>
          <w:rStyle w:val="CaptionChar"/>
          <w:rFonts w:ascii="Times New Roman" w:hAnsi="Times New Roman"/>
        </w:rPr>
        <w:t>vs.</w:t>
      </w:r>
      <w:r w:rsidR="00686DBD">
        <w:rPr>
          <w:rStyle w:val="CaptionChar"/>
          <w:rFonts w:ascii="Times New Roman" w:hAnsi="Times New Roman"/>
        </w:rPr>
        <w:t xml:space="preserve"> </w:t>
      </w:r>
      <w:r w:rsidR="00C93D07">
        <w:rPr>
          <w:rStyle w:val="CaptionChar"/>
          <w:rFonts w:ascii="Times New Roman" w:hAnsi="Times New Roman"/>
        </w:rPr>
        <w:t xml:space="preserve">field quality </w:t>
      </w:r>
      <w:r w:rsidR="00686DBD">
        <w:rPr>
          <w:rStyle w:val="CaptionChar"/>
          <w:rFonts w:ascii="Times New Roman" w:hAnsi="Times New Roman"/>
        </w:rPr>
        <w:t>optimized end</w:t>
      </w:r>
      <w:r w:rsidR="00C93D07">
        <w:rPr>
          <w:rStyle w:val="CaptionChar"/>
          <w:rFonts w:ascii="Times New Roman" w:hAnsi="Times New Roman"/>
        </w:rPr>
        <w:t xml:space="preserve"> geometry.</w:t>
      </w:r>
      <w:r w:rsidR="002E1B9E">
        <w:rPr>
          <w:rStyle w:val="CaptionChar"/>
          <w:rFonts w:ascii="Times New Roman" w:hAnsi="Times New Roman"/>
        </w:rPr>
        <w:t xml:space="preserve"> </w:t>
      </w:r>
    </w:p>
    <w:p w:rsidR="009E466E" w:rsidRPr="007D2718" w:rsidRDefault="009E466E" w:rsidP="009E466E">
      <w:pPr>
        <w:pStyle w:val="JSectionHeading"/>
        <w:rPr>
          <w:rFonts w:cs="Times New Roman"/>
        </w:rPr>
      </w:pPr>
      <w:r>
        <w:rPr>
          <w:rFonts w:cs="Times New Roman"/>
        </w:rPr>
        <w:t>SUMMARY AND NEXT STEPS</w:t>
      </w:r>
    </w:p>
    <w:p w:rsidR="009E466E" w:rsidRDefault="009E466E" w:rsidP="009E466E">
      <w:pPr>
        <w:pStyle w:val="BodyTextIndent"/>
        <w:rPr>
          <w:kern w:val="16"/>
        </w:rPr>
      </w:pPr>
      <w:r>
        <w:rPr>
          <w:kern w:val="16"/>
        </w:rPr>
        <w:t>Preliminary estimates of the field harmonics for the JLEIC IR quadrupoles were presented. Feedback from the accelerator physics studies will provide guidance for further evaluation and optimization of the magnet field quality.</w:t>
      </w:r>
    </w:p>
    <w:p w:rsidR="00BF0E28" w:rsidRPr="007D2718" w:rsidRDefault="00BF0E28" w:rsidP="00BF0E28">
      <w:pPr>
        <w:pStyle w:val="JSectionHeading"/>
        <w:rPr>
          <w:rFonts w:cs="Times New Roman"/>
        </w:rPr>
      </w:pPr>
      <w:r w:rsidRPr="007D2718">
        <w:rPr>
          <w:rFonts w:cs="Times New Roman"/>
        </w:rPr>
        <w:t>References</w:t>
      </w:r>
    </w:p>
    <w:p w:rsidR="00E138A2" w:rsidRDefault="00E138A2" w:rsidP="004270D5">
      <w:pPr>
        <w:pStyle w:val="JReference"/>
        <w:jc w:val="both"/>
        <w:rPr>
          <w:rStyle w:val="CaptionChar"/>
          <w:rFonts w:ascii="Times New Roman" w:hAnsi="Times New Roman"/>
          <w:bCs w:val="0"/>
        </w:rPr>
      </w:pPr>
      <w:r>
        <w:rPr>
          <w:rStyle w:val="CaptionChar"/>
          <w:rFonts w:ascii="Times New Roman" w:hAnsi="Times New Roman"/>
          <w:bCs w:val="0"/>
        </w:rPr>
        <w:t>[1]</w:t>
      </w:r>
      <w:r>
        <w:rPr>
          <w:rStyle w:val="CaptionChar"/>
          <w:rFonts w:ascii="Times New Roman" w:hAnsi="Times New Roman"/>
          <w:bCs w:val="0"/>
        </w:rPr>
        <w:tab/>
      </w:r>
      <w:r w:rsidR="009C7843" w:rsidRPr="009C7843">
        <w:rPr>
          <w:rStyle w:val="CaptionChar"/>
          <w:rFonts w:ascii="Times New Roman" w:hAnsi="Times New Roman"/>
          <w:bCs w:val="0"/>
        </w:rPr>
        <w:t>DOE/NSF Nuclear Science Advisory Committee</w:t>
      </w:r>
      <w:r w:rsidRPr="00E138A2">
        <w:rPr>
          <w:rStyle w:val="CaptionChar"/>
          <w:rFonts w:ascii="Times New Roman" w:hAnsi="Times New Roman"/>
          <w:bCs w:val="0"/>
        </w:rPr>
        <w:t>, “The Frontiers of Nuclear Science: A Lo</w:t>
      </w:r>
      <w:r>
        <w:rPr>
          <w:rStyle w:val="CaptionChar"/>
          <w:rFonts w:ascii="Times New Roman" w:hAnsi="Times New Roman"/>
          <w:bCs w:val="0"/>
        </w:rPr>
        <w:t xml:space="preserve">ng </w:t>
      </w:r>
      <w:r w:rsidR="009C7843">
        <w:rPr>
          <w:rStyle w:val="CaptionChar"/>
          <w:rFonts w:ascii="Times New Roman" w:hAnsi="Times New Roman"/>
          <w:bCs w:val="0"/>
        </w:rPr>
        <w:t>Range Plan”</w:t>
      </w:r>
      <w:r w:rsidRPr="00E138A2">
        <w:rPr>
          <w:rStyle w:val="CaptionChar"/>
          <w:rFonts w:ascii="Times New Roman" w:hAnsi="Times New Roman"/>
          <w:bCs w:val="0"/>
        </w:rPr>
        <w:t>.</w:t>
      </w:r>
      <w:r w:rsidR="009C7843" w:rsidRPr="009C7843">
        <w:rPr>
          <w:rStyle w:val="CaptionChar"/>
          <w:rFonts w:ascii="Times New Roman" w:hAnsi="Times New Roman"/>
          <w:bCs w:val="0"/>
        </w:rPr>
        <w:t xml:space="preserve"> AIP Conference Proceedings 972, 17 (2008)</w:t>
      </w:r>
      <w:r w:rsidR="009C7843" w:rsidRPr="009C7843">
        <w:rPr>
          <w:rStyle w:val="CaptionChar"/>
          <w:rFonts w:ascii="Times New Roman" w:hAnsi="Times New Roman"/>
          <w:bCs w:val="0"/>
        </w:rPr>
        <w:tab/>
      </w:r>
    </w:p>
    <w:p w:rsidR="005820D8" w:rsidRDefault="00E138A2" w:rsidP="004270D5">
      <w:pPr>
        <w:pStyle w:val="JReference"/>
        <w:jc w:val="both"/>
        <w:rPr>
          <w:rStyle w:val="CaptionChar"/>
          <w:rFonts w:ascii="Times New Roman" w:hAnsi="Times New Roman"/>
          <w:bCs w:val="0"/>
        </w:rPr>
      </w:pPr>
      <w:r>
        <w:rPr>
          <w:rStyle w:val="CaptionChar"/>
          <w:rFonts w:ascii="Times New Roman" w:hAnsi="Times New Roman"/>
          <w:bCs w:val="0"/>
        </w:rPr>
        <w:t>[2]</w:t>
      </w:r>
      <w:r>
        <w:rPr>
          <w:rStyle w:val="CaptionChar"/>
          <w:rFonts w:ascii="Times New Roman" w:hAnsi="Times New Roman"/>
          <w:bCs w:val="0"/>
        </w:rPr>
        <w:tab/>
      </w:r>
      <w:r w:rsidR="005820D8" w:rsidRPr="005820D8">
        <w:rPr>
          <w:rStyle w:val="CaptionChar"/>
          <w:rFonts w:ascii="Times New Roman" w:hAnsi="Times New Roman"/>
          <w:bCs w:val="0"/>
        </w:rPr>
        <w:t>Donald Geesaman (2016) Reaching for the Horizon: The Nuclear Science Advisory Committee 2015 Long Range Plan for Nuclear Science, Nuclear Physics News, 26:1, 3-4, DOI: 10.1080/10619127.2016.1140967</w:t>
      </w:r>
    </w:p>
    <w:p w:rsidR="005820D8" w:rsidRDefault="00E138A2" w:rsidP="004270D5">
      <w:pPr>
        <w:pStyle w:val="JReference"/>
        <w:jc w:val="both"/>
        <w:rPr>
          <w:rStyle w:val="CaptionChar"/>
          <w:rFonts w:ascii="Times New Roman" w:hAnsi="Times New Roman"/>
          <w:bCs w:val="0"/>
        </w:rPr>
      </w:pPr>
      <w:r>
        <w:rPr>
          <w:rStyle w:val="CaptionChar"/>
          <w:rFonts w:ascii="Times New Roman" w:hAnsi="Times New Roman"/>
          <w:bCs w:val="0"/>
        </w:rPr>
        <w:t>[3]</w:t>
      </w:r>
      <w:r>
        <w:rPr>
          <w:rStyle w:val="CaptionChar"/>
          <w:rFonts w:ascii="Times New Roman" w:hAnsi="Times New Roman"/>
          <w:bCs w:val="0"/>
        </w:rPr>
        <w:tab/>
      </w:r>
      <w:r w:rsidR="005820D8" w:rsidRPr="005820D8">
        <w:rPr>
          <w:rStyle w:val="CaptionChar"/>
          <w:rFonts w:ascii="Times New Roman" w:hAnsi="Times New Roman"/>
          <w:bCs w:val="0"/>
        </w:rPr>
        <w:t>National Academies of Sciences, Engineering, and Medici</w:t>
      </w:r>
      <w:r w:rsidR="005820D8">
        <w:rPr>
          <w:rStyle w:val="CaptionChar"/>
          <w:rFonts w:ascii="Times New Roman" w:hAnsi="Times New Roman"/>
          <w:bCs w:val="0"/>
        </w:rPr>
        <w:t>ne, “</w:t>
      </w:r>
      <w:r w:rsidR="005820D8" w:rsidRPr="005820D8">
        <w:rPr>
          <w:rStyle w:val="CaptionChar"/>
          <w:rFonts w:ascii="Times New Roman" w:hAnsi="Times New Roman"/>
          <w:bCs w:val="0"/>
        </w:rPr>
        <w:t>An Assessment of U.S.-Based Electron-Ion Collider Science</w:t>
      </w:r>
      <w:r w:rsidR="005820D8">
        <w:rPr>
          <w:rStyle w:val="CaptionChar"/>
          <w:rFonts w:ascii="Times New Roman" w:hAnsi="Times New Roman"/>
          <w:bCs w:val="0"/>
        </w:rPr>
        <w:t>”.</w:t>
      </w:r>
      <w:r w:rsidR="005820D8" w:rsidRPr="005820D8">
        <w:rPr>
          <w:rStyle w:val="CaptionChar"/>
          <w:rFonts w:ascii="Times New Roman" w:hAnsi="Times New Roman"/>
          <w:bCs w:val="0"/>
        </w:rPr>
        <w:t xml:space="preserve"> Washington, DC: The National Academies Press</w:t>
      </w:r>
      <w:r w:rsidR="005820D8">
        <w:rPr>
          <w:rStyle w:val="CaptionChar"/>
          <w:rFonts w:ascii="Times New Roman" w:hAnsi="Times New Roman"/>
          <w:bCs w:val="0"/>
        </w:rPr>
        <w:t xml:space="preserve"> (2018)</w:t>
      </w:r>
      <w:r w:rsidR="005820D8" w:rsidRPr="005820D8">
        <w:rPr>
          <w:rStyle w:val="CaptionChar"/>
          <w:rFonts w:ascii="Times New Roman" w:hAnsi="Times New Roman"/>
          <w:bCs w:val="0"/>
        </w:rPr>
        <w:t xml:space="preserve">. </w:t>
      </w:r>
      <w:hyperlink r:id="rId17" w:history="1">
        <w:r w:rsidR="005820D8" w:rsidRPr="00731C82">
          <w:rPr>
            <w:rStyle w:val="Hyperlink"/>
          </w:rPr>
          <w:t>https://doi.org/10.17226/25171</w:t>
        </w:r>
      </w:hyperlink>
      <w:r w:rsidR="005820D8" w:rsidRPr="005820D8">
        <w:rPr>
          <w:rStyle w:val="CaptionChar"/>
          <w:rFonts w:ascii="Times New Roman" w:hAnsi="Times New Roman"/>
          <w:bCs w:val="0"/>
        </w:rPr>
        <w:t>.</w:t>
      </w:r>
    </w:p>
    <w:p w:rsidR="00BF0E28" w:rsidRDefault="005820D8" w:rsidP="004270D5">
      <w:pPr>
        <w:pStyle w:val="JReference"/>
        <w:jc w:val="both"/>
        <w:rPr>
          <w:rStyle w:val="CaptionChar"/>
          <w:rFonts w:ascii="Times New Roman" w:hAnsi="Times New Roman"/>
          <w:bCs w:val="0"/>
        </w:rPr>
      </w:pPr>
      <w:r>
        <w:rPr>
          <w:rStyle w:val="CaptionChar"/>
          <w:rFonts w:ascii="Times New Roman" w:hAnsi="Times New Roman"/>
          <w:bCs w:val="0"/>
        </w:rPr>
        <w:t xml:space="preserve"> </w:t>
      </w:r>
      <w:r w:rsidR="00E138A2">
        <w:rPr>
          <w:rStyle w:val="CaptionChar"/>
          <w:rFonts w:ascii="Times New Roman" w:hAnsi="Times New Roman"/>
          <w:bCs w:val="0"/>
        </w:rPr>
        <w:t>[4]</w:t>
      </w:r>
      <w:r w:rsidR="00E138A2">
        <w:rPr>
          <w:rStyle w:val="CaptionChar"/>
          <w:rFonts w:ascii="Times New Roman" w:hAnsi="Times New Roman"/>
          <w:bCs w:val="0"/>
        </w:rPr>
        <w:tab/>
      </w:r>
      <w:r w:rsidR="00E138A2" w:rsidRPr="00E138A2">
        <w:rPr>
          <w:rStyle w:val="CaptionChar"/>
          <w:rFonts w:ascii="Times New Roman" w:hAnsi="Times New Roman"/>
          <w:bCs w:val="0"/>
        </w:rPr>
        <w:t>A. Accardi et al., “Electron-</w:t>
      </w:r>
      <w:r w:rsidR="00E138A2">
        <w:rPr>
          <w:rStyle w:val="CaptionChar"/>
          <w:rFonts w:ascii="Times New Roman" w:hAnsi="Times New Roman"/>
          <w:bCs w:val="0"/>
        </w:rPr>
        <w:t>Ion collider: the next QCD fron</w:t>
      </w:r>
      <w:r w:rsidR="00E138A2" w:rsidRPr="00E138A2">
        <w:rPr>
          <w:rStyle w:val="CaptionChar"/>
          <w:rFonts w:ascii="Times New Roman" w:hAnsi="Times New Roman"/>
          <w:bCs w:val="0"/>
        </w:rPr>
        <w:t>tier</w:t>
      </w:r>
      <w:r w:rsidR="00E138A2">
        <w:rPr>
          <w:rStyle w:val="CaptionChar"/>
          <w:rFonts w:ascii="Times New Roman" w:hAnsi="Times New Roman"/>
          <w:bCs w:val="0"/>
        </w:rPr>
        <w:t>- understanding the glue that binds us all” eur. Phys. J. A52, p. 268 (2016)</w:t>
      </w:r>
      <w:r w:rsidR="000B684D">
        <w:rPr>
          <w:rStyle w:val="CaptionChar"/>
          <w:rFonts w:ascii="Times New Roman" w:hAnsi="Times New Roman"/>
          <w:bCs w:val="0"/>
        </w:rPr>
        <w:t>.</w:t>
      </w:r>
    </w:p>
    <w:p w:rsidR="000B684D" w:rsidRPr="009B3A2F" w:rsidRDefault="00E138A2" w:rsidP="000B684D">
      <w:pPr>
        <w:pStyle w:val="JReference"/>
        <w:jc w:val="both"/>
      </w:pPr>
      <w:r>
        <w:rPr>
          <w:rStyle w:val="CaptionChar"/>
          <w:rFonts w:ascii="Times New Roman" w:hAnsi="Times New Roman"/>
          <w:bCs w:val="0"/>
        </w:rPr>
        <w:t>[5]</w:t>
      </w:r>
      <w:r>
        <w:rPr>
          <w:rStyle w:val="CaptionChar"/>
          <w:rFonts w:ascii="Times New Roman" w:hAnsi="Times New Roman"/>
          <w:bCs w:val="0"/>
        </w:rPr>
        <w:tab/>
      </w:r>
      <w:r w:rsidRPr="009B3A2F">
        <w:rPr>
          <w:rStyle w:val="CaptionChar"/>
          <w:rFonts w:ascii="Times New Roman" w:hAnsi="Times New Roman"/>
          <w:bCs w:val="0"/>
        </w:rPr>
        <w:t xml:space="preserve">Y. Zhang, “JLEIC design update”, </w:t>
      </w:r>
      <w:r w:rsidR="009C7843">
        <w:rPr>
          <w:rStyle w:val="CaptionChar"/>
          <w:rFonts w:ascii="Times New Roman" w:hAnsi="Times New Roman"/>
          <w:bCs w:val="0"/>
        </w:rPr>
        <w:t xml:space="preserve">Proceedings of </w:t>
      </w:r>
      <w:r w:rsidR="000B684D" w:rsidRPr="009B3A2F">
        <w:t xml:space="preserve">NAPAC 2019, Lansing, Michigan, September 2019. </w:t>
      </w:r>
    </w:p>
    <w:p w:rsidR="00BF0E28" w:rsidRPr="009B3A2F" w:rsidRDefault="00BF0E28" w:rsidP="000B684D">
      <w:pPr>
        <w:pStyle w:val="JReference"/>
        <w:jc w:val="both"/>
      </w:pPr>
      <w:r w:rsidRPr="009B3A2F">
        <w:t>[6</w:t>
      </w:r>
      <w:r w:rsidR="009B3A2F">
        <w:t>]</w:t>
      </w:r>
      <w:r w:rsidR="009B3A2F">
        <w:tab/>
      </w:r>
      <w:r w:rsidRPr="009B3A2F">
        <w:t xml:space="preserve">A. Seryi, F. Willeke et al., “The US electron ion collider accelerator designs,” </w:t>
      </w:r>
      <w:r w:rsidR="000B684D" w:rsidRPr="009B3A2F">
        <w:t xml:space="preserve">NAPAC 2019, Lansing, Michigan, September 2019. </w:t>
      </w:r>
    </w:p>
    <w:p w:rsidR="009C7843" w:rsidRPr="009B3A2F" w:rsidRDefault="009B3A2F" w:rsidP="009C7843">
      <w:pPr>
        <w:pStyle w:val="JReference"/>
        <w:jc w:val="both"/>
      </w:pPr>
      <w:r>
        <w:t>[7]</w:t>
      </w:r>
      <w:r>
        <w:tab/>
      </w:r>
      <w:r w:rsidR="00BF0E28" w:rsidRPr="009B3A2F">
        <w:t>V. Morozov et al., “</w:t>
      </w:r>
      <w:r w:rsidR="00FD2A16" w:rsidRPr="009B3A2F">
        <w:t xml:space="preserve">Full acceptance interaction region design of JLEIC”, </w:t>
      </w:r>
      <w:r w:rsidR="002810A4">
        <w:t>Pr</w:t>
      </w:r>
      <w:r w:rsidR="000B684D">
        <w:t xml:space="preserve">oceedings of </w:t>
      </w:r>
      <w:r w:rsidR="009C7843">
        <w:t xml:space="preserve">the </w:t>
      </w:r>
      <w:r w:rsidR="009C7843" w:rsidRPr="009B3A2F">
        <w:t>10</w:t>
      </w:r>
      <w:r w:rsidR="009C7843" w:rsidRPr="009C7843">
        <w:rPr>
          <w:vertAlign w:val="superscript"/>
        </w:rPr>
        <w:t>th</w:t>
      </w:r>
      <w:r w:rsidR="009C7843" w:rsidRPr="009B3A2F">
        <w:t xml:space="preserve"> International Particle Accelerator Conference (IPAC 2019) Melbourne, Australia, </w:t>
      </w:r>
      <w:r w:rsidR="009C7843">
        <w:t>May 2019.</w:t>
      </w:r>
    </w:p>
    <w:p w:rsidR="00BF0E28" w:rsidRPr="009B3A2F" w:rsidRDefault="00F24FA8" w:rsidP="004270D5">
      <w:pPr>
        <w:pStyle w:val="JReference"/>
        <w:jc w:val="both"/>
      </w:pPr>
      <w:r w:rsidRPr="009B3A2F">
        <w:t>[8</w:t>
      </w:r>
      <w:r w:rsidR="009B3A2F">
        <w:t>]</w:t>
      </w:r>
      <w:r w:rsidR="009B3A2F">
        <w:tab/>
      </w:r>
      <w:r w:rsidRPr="009B3A2F">
        <w:t xml:space="preserve">Y. Nosochkov et al., “Dynamic aperture of JLEIC electron collider ring with errors and correction”, </w:t>
      </w:r>
      <w:r w:rsidR="009C7843">
        <w:t xml:space="preserve">Proceedings of the </w:t>
      </w:r>
      <w:r w:rsidRPr="009B3A2F">
        <w:t>10</w:t>
      </w:r>
      <w:r w:rsidRPr="009C7843">
        <w:rPr>
          <w:vertAlign w:val="superscript"/>
        </w:rPr>
        <w:t>th</w:t>
      </w:r>
      <w:r w:rsidRPr="009B3A2F">
        <w:t xml:space="preserve"> International Particle Accelerator Conference (IPAC 2019) Melbourne, Australia, </w:t>
      </w:r>
      <w:r w:rsidR="009C7843">
        <w:t>May 2019.</w:t>
      </w:r>
    </w:p>
    <w:p w:rsidR="00BF0E28" w:rsidRPr="009B3A2F" w:rsidRDefault="00F24FA8" w:rsidP="004270D5">
      <w:pPr>
        <w:pStyle w:val="JReference"/>
        <w:jc w:val="both"/>
      </w:pPr>
      <w:r w:rsidRPr="009B3A2F">
        <w:lastRenderedPageBreak/>
        <w:t>[9</w:t>
      </w:r>
      <w:r w:rsidR="009B3A2F">
        <w:t>]</w:t>
      </w:r>
      <w:r w:rsidR="009B3A2F">
        <w:tab/>
      </w:r>
      <w:r w:rsidRPr="009B3A2F">
        <w:t xml:space="preserve">B.R.P. Gamage et al., “Multipole effects on dynamic aperture in JLEIC ion collider ring”, </w:t>
      </w:r>
      <w:r w:rsidR="009C7843">
        <w:t xml:space="preserve">Proceedings of </w:t>
      </w:r>
      <w:r w:rsidRPr="009B3A2F">
        <w:t>NAPAC 2019, Lansing, Michigan, September 2019.</w:t>
      </w:r>
      <w:r w:rsidR="00FD2A16" w:rsidRPr="009B3A2F">
        <w:t xml:space="preserve"> </w:t>
      </w:r>
    </w:p>
    <w:p w:rsidR="00F24FA8" w:rsidRPr="009B3A2F" w:rsidRDefault="009B3A2F" w:rsidP="004270D5">
      <w:pPr>
        <w:pStyle w:val="JReference"/>
        <w:jc w:val="both"/>
      </w:pPr>
      <w:r>
        <w:t>[10]</w:t>
      </w:r>
      <w:r>
        <w:tab/>
      </w:r>
      <w:r w:rsidR="00F24FA8" w:rsidRPr="009B3A2F">
        <w:t xml:space="preserve">R. Rajput-Ghoshal et al., “Conceptual design of the interaction region magnets for future electron-ion collider at Jefferson Lab”, </w:t>
      </w:r>
      <w:r w:rsidR="00F24FA8" w:rsidRPr="009C7843">
        <w:rPr>
          <w:i/>
        </w:rPr>
        <w:t>IEEE Trans. Appl. Superc</w:t>
      </w:r>
      <w:r w:rsidR="004F48DD" w:rsidRPr="009C7843">
        <w:rPr>
          <w:i/>
        </w:rPr>
        <w:t>ond.</w:t>
      </w:r>
      <w:r w:rsidR="004F48DD" w:rsidRPr="009B3A2F">
        <w:t xml:space="preserve"> Vol 29, No. 5, August 20</w:t>
      </w:r>
      <w:r w:rsidR="009C7843">
        <w:t>19.</w:t>
      </w:r>
      <w:r w:rsidR="004F48DD" w:rsidRPr="009B3A2F">
        <w:t xml:space="preserve"> </w:t>
      </w:r>
    </w:p>
    <w:p w:rsidR="00DC34C4" w:rsidRPr="009B3A2F" w:rsidRDefault="00DC34C4" w:rsidP="004270D5">
      <w:pPr>
        <w:pStyle w:val="JReference"/>
        <w:jc w:val="both"/>
      </w:pPr>
      <w:r w:rsidRPr="009B3A2F">
        <w:t>[11] S. Russenschuck, “ROXIE: Routine for the optimization of magnet X-sections, inverse field calculation and coil end design,” CERN-99-01, Apr. 1999.</w:t>
      </w:r>
    </w:p>
    <w:p w:rsidR="0011227F" w:rsidRPr="009B3A2F" w:rsidRDefault="0011227F" w:rsidP="004270D5">
      <w:pPr>
        <w:pStyle w:val="JReference"/>
        <w:jc w:val="both"/>
      </w:pPr>
      <w:r w:rsidRPr="009B3A2F">
        <w:t xml:space="preserve">[12] H. Prin et al., “Production of the Superconducting Matching Quadrupoles for the LHC Insertions”, </w:t>
      </w:r>
      <w:r w:rsidRPr="009C7843">
        <w:rPr>
          <w:i/>
        </w:rPr>
        <w:t>IEEE Trans. Appl. Supercond.</w:t>
      </w:r>
      <w:r w:rsidRPr="009B3A2F">
        <w:t>, vol. 16, no. 2, June 2006.</w:t>
      </w:r>
    </w:p>
    <w:p w:rsidR="0011227F" w:rsidRDefault="000B684D" w:rsidP="00DC1B1F">
      <w:pPr>
        <w:pStyle w:val="JReference"/>
        <w:jc w:val="both"/>
      </w:pPr>
      <w:r>
        <w:t>[13]</w:t>
      </w:r>
      <w:r>
        <w:tab/>
      </w:r>
      <w:r w:rsidR="00DC1B1F">
        <w:t xml:space="preserve">L. Rossi, “Superconducting cables and magnets for the Large Hadron Collider”, Proceedings of the </w:t>
      </w:r>
      <w:r w:rsidR="00DC1B1F" w:rsidRPr="00DC1B1F">
        <w:t>6th European Conference on Applied Superconductivity (EUCAS 2003)</w:t>
      </w:r>
      <w:r w:rsidR="00DC1B1F">
        <w:t xml:space="preserve">, </w:t>
      </w:r>
      <w:r w:rsidR="00DC1B1F" w:rsidRPr="00DC1B1F">
        <w:t>14-18 Septem</w:t>
      </w:r>
      <w:r w:rsidR="00DC1B1F">
        <w:t>ber 2003, Sorrento,</w:t>
      </w:r>
      <w:r w:rsidR="00DC1B1F" w:rsidRPr="00DC1B1F">
        <w:t xml:space="preserve"> Ital</w:t>
      </w:r>
      <w:r w:rsidR="00DC1B1F">
        <w:t>y.</w:t>
      </w:r>
    </w:p>
    <w:p w:rsidR="004270D5" w:rsidRDefault="004270D5" w:rsidP="00F64356">
      <w:pPr>
        <w:pStyle w:val="JReference"/>
        <w:jc w:val="both"/>
      </w:pPr>
      <w:r>
        <w:t>[14]</w:t>
      </w:r>
      <w:r>
        <w:tab/>
      </w:r>
      <w:r w:rsidR="00F64356">
        <w:t>P. Ferracin et al., “</w:t>
      </w:r>
      <w:r w:rsidR="00F64356" w:rsidRPr="00F64356">
        <w:t>Development of MQXF: The Nb</w:t>
      </w:r>
      <w:r w:rsidR="00F64356" w:rsidRPr="00F64356">
        <w:rPr>
          <w:vertAlign w:val="subscript"/>
        </w:rPr>
        <w:t>3</w:t>
      </w:r>
      <w:r w:rsidR="00F64356" w:rsidRPr="00F64356">
        <w:t>Sn Low-βQuadrupole for the HiLumi LHC</w:t>
      </w:r>
      <w:r w:rsidR="000B684D">
        <w:t>”,</w:t>
      </w:r>
      <w:r w:rsidR="00F64356" w:rsidRPr="009B3A2F">
        <w:t xml:space="preserve"> </w:t>
      </w:r>
      <w:r w:rsidR="00F64356" w:rsidRPr="009C7843">
        <w:rPr>
          <w:i/>
        </w:rPr>
        <w:t>IEEE Trans. Appl. Supercond.</w:t>
      </w:r>
      <w:r w:rsidR="00F64356">
        <w:t>, vol. 64, no. 4, June 2016</w:t>
      </w:r>
      <w:r w:rsidR="00F64356" w:rsidRPr="009B3A2F">
        <w:t>.</w:t>
      </w:r>
    </w:p>
    <w:p w:rsidR="004B06A3" w:rsidRPr="009B3A2F" w:rsidRDefault="004270D5" w:rsidP="00F64356">
      <w:pPr>
        <w:pStyle w:val="JReference"/>
        <w:jc w:val="both"/>
      </w:pPr>
      <w:r>
        <w:t>[15</w:t>
      </w:r>
      <w:r w:rsidR="004B06A3">
        <w:t>]</w:t>
      </w:r>
      <w:r w:rsidR="004B06A3">
        <w:tab/>
        <w:t>G. Sabbi et al., “</w:t>
      </w:r>
      <w:r w:rsidR="004B06A3" w:rsidRPr="004B06A3">
        <w:t>Correction of high gradient quadrupole harmonics with magnetic shims</w:t>
      </w:r>
      <w:r w:rsidR="004B06A3">
        <w:t xml:space="preserve">”, </w:t>
      </w:r>
      <w:r w:rsidR="004B06A3" w:rsidRPr="009C7843">
        <w:rPr>
          <w:i/>
        </w:rPr>
        <w:t>IEEE Trans. Appl. Supercond.</w:t>
      </w:r>
      <w:r w:rsidR="004B06A3">
        <w:t xml:space="preserve"> Vol. </w:t>
      </w:r>
      <w:r>
        <w:t>10, No. 1, March 2000.</w:t>
      </w:r>
    </w:p>
    <w:p w:rsidR="00DC34C4" w:rsidRDefault="00DC34C4" w:rsidP="00DC34C4">
      <w:pPr>
        <w:pStyle w:val="JReference"/>
        <w:tabs>
          <w:tab w:val="left" w:pos="386"/>
        </w:tabs>
        <w:spacing w:after="60"/>
        <w:ind w:left="295" w:hanging="295"/>
        <w:rPr>
          <w:szCs w:val="18"/>
        </w:rPr>
      </w:pPr>
    </w:p>
    <w:p w:rsidR="006B77A8" w:rsidRDefault="006B77A8">
      <w:pPr>
        <w:rPr>
          <w:kern w:val="16"/>
          <w:szCs w:val="20"/>
        </w:rPr>
      </w:pPr>
    </w:p>
    <w:sectPr w:rsidR="006B77A8" w:rsidSect="00C30DE2">
      <w:footnotePr>
        <w:pos w:val="beneathText"/>
        <w:numFmt w:val="chicago"/>
      </w:footnotePr>
      <w:endnotePr>
        <w:numFmt w:val="decimal"/>
      </w:endnotePr>
      <w:type w:val="continuous"/>
      <w:pgSz w:w="12240" w:h="15840" w:code="1"/>
      <w:pgMar w:top="1077" w:right="1474" w:bottom="1077" w:left="1134" w:header="2104" w:footer="1077"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900" w:rsidRDefault="00F32900"/>
  </w:endnote>
  <w:endnote w:type="continuationSeparator" w:id="0">
    <w:p w:rsidR="00F32900" w:rsidRDefault="00F32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0D940574-ED20-4438-BA8B-ACBDDA94F0D3}"/>
    <w:embedBold r:id="rId2" w:fontKey="{C92763B4-CBC8-4DD8-B9A7-844154A882FF}"/>
    <w:embedItalic r:id="rId3" w:fontKey="{22943AD1-7134-4738-8F45-78C661C13426}"/>
    <w:embedBoldItalic r:id="rId4" w:fontKey="{EF81C017-2134-415C-BE0E-807D25CF6AC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E5F7EFE-4D21-4A00-8FB7-D399D1A7D8B0}"/>
    <w:embedBold r:id="rId6" w:fontKey="{64E2DB90-9D33-4CE4-BEF8-78F94DB9EC64}"/>
    <w:embedItalic r:id="rId7" w:fontKey="{B87E7168-0591-4B45-8A1B-C7B90DFF464B}"/>
    <w:embedBoldItalic r:id="rId8" w:fontKey="{C4654B39-89F3-4D91-8754-3646DCCB22A0}"/>
  </w:font>
  <w:font w:name="Tahoma">
    <w:panose1 w:val="020B0604030504040204"/>
    <w:charset w:val="00"/>
    <w:family w:val="swiss"/>
    <w:pitch w:val="variable"/>
    <w:sig w:usb0="E1002EFF" w:usb1="C000605B" w:usb2="00000029" w:usb3="00000000" w:csb0="000101FF" w:csb1="00000000"/>
    <w:embedRegular r:id="rId9" w:fontKey="{BA4D7480-6DA1-48B4-8B69-60124A795FE6}"/>
  </w:font>
  <w:font w:name="Calibri">
    <w:panose1 w:val="020F0502020204030204"/>
    <w:charset w:val="00"/>
    <w:family w:val="swiss"/>
    <w:pitch w:val="variable"/>
    <w:sig w:usb0="E0002EFF" w:usb1="C000247B" w:usb2="00000009" w:usb3="00000000" w:csb0="000001FF" w:csb1="00000000"/>
    <w:embedRegular r:id="rId10" w:fontKey="{DDF24FBD-F169-4F71-9F4F-2A14AC40C4CE}"/>
    <w:embedItalic r:id="rId11" w:fontKey="{715A0E52-19C8-405F-B069-5EBF1C908C47}"/>
  </w:font>
  <w:font w:name="Consolas">
    <w:panose1 w:val="020B0609020204030204"/>
    <w:charset w:val="00"/>
    <w:family w:val="modern"/>
    <w:pitch w:val="fixed"/>
    <w:sig w:usb0="E00006FF" w:usb1="0000FCFF" w:usb2="00000001" w:usb3="00000000" w:csb0="0000019F" w:csb1="00000000"/>
    <w:embedRegular r:id="rId12" w:fontKey="{9E10F822-EEFC-4064-952E-BA5F688DDAF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900" w:rsidRDefault="00F32900">
      <w:r>
        <w:separator/>
      </w:r>
    </w:p>
  </w:footnote>
  <w:footnote w:type="continuationSeparator" w:id="0">
    <w:p w:rsidR="00F32900" w:rsidRDefault="00F32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0DB5B1C"/>
    <w:multiLevelType w:val="hybridMultilevel"/>
    <w:tmpl w:val="FD343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58B0F1C"/>
    <w:multiLevelType w:val="hybridMultilevel"/>
    <w:tmpl w:val="A2A07BB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5" w15:restartNumberingAfterBreak="0">
    <w:nsid w:val="330C0D2A"/>
    <w:multiLevelType w:val="hybridMultilevel"/>
    <w:tmpl w:val="6388D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7"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33D4C"/>
    <w:multiLevelType w:val="hybridMultilevel"/>
    <w:tmpl w:val="B0E85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9E8510A"/>
    <w:multiLevelType w:val="hybridMultilevel"/>
    <w:tmpl w:val="60B6ADDA"/>
    <w:lvl w:ilvl="0" w:tplc="ED380FB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2" w15:restartNumberingAfterBreak="0">
    <w:nsid w:val="5DCB789F"/>
    <w:multiLevelType w:val="hybridMultilevel"/>
    <w:tmpl w:val="6F462FE4"/>
    <w:lvl w:ilvl="0" w:tplc="ED380FB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4"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5" w15:restartNumberingAfterBreak="0">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6DE40305"/>
    <w:multiLevelType w:val="hybridMultilevel"/>
    <w:tmpl w:val="0178B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52974"/>
    <w:multiLevelType w:val="hybridMultilevel"/>
    <w:tmpl w:val="BAE42F14"/>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num w:numId="1">
    <w:abstractNumId w:val="21"/>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23"/>
  </w:num>
  <w:num w:numId="17">
    <w:abstractNumId w:val="19"/>
  </w:num>
  <w:num w:numId="18">
    <w:abstractNumId w:val="16"/>
  </w:num>
  <w:num w:numId="19">
    <w:abstractNumId w:val="25"/>
  </w:num>
  <w:num w:numId="20">
    <w:abstractNumId w:val="17"/>
  </w:num>
  <w:num w:numId="21">
    <w:abstractNumId w:val="12"/>
  </w:num>
  <w:num w:numId="22">
    <w:abstractNumId w:val="26"/>
  </w:num>
  <w:num w:numId="23">
    <w:abstractNumId w:val="14"/>
  </w:num>
  <w:num w:numId="24">
    <w:abstractNumId w:val="27"/>
  </w:num>
  <w:num w:numId="25">
    <w:abstractNumId w:val="18"/>
  </w:num>
  <w:num w:numId="26">
    <w:abstractNumId w:val="11"/>
  </w:num>
  <w:num w:numId="27">
    <w:abstractNumId w:val="15"/>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4097"/>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23F"/>
    <w:rsid w:val="00000DB8"/>
    <w:rsid w:val="00002360"/>
    <w:rsid w:val="000030C7"/>
    <w:rsid w:val="00007CCD"/>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33B3C"/>
    <w:rsid w:val="0004015C"/>
    <w:rsid w:val="00041FEC"/>
    <w:rsid w:val="00042A9C"/>
    <w:rsid w:val="00042B73"/>
    <w:rsid w:val="00043383"/>
    <w:rsid w:val="000460AE"/>
    <w:rsid w:val="00046785"/>
    <w:rsid w:val="00046FE8"/>
    <w:rsid w:val="00047219"/>
    <w:rsid w:val="00052CB4"/>
    <w:rsid w:val="00053CF4"/>
    <w:rsid w:val="00056950"/>
    <w:rsid w:val="00056E9E"/>
    <w:rsid w:val="0006111D"/>
    <w:rsid w:val="000634BB"/>
    <w:rsid w:val="00066F1A"/>
    <w:rsid w:val="00070532"/>
    <w:rsid w:val="00071B49"/>
    <w:rsid w:val="0007331E"/>
    <w:rsid w:val="00074291"/>
    <w:rsid w:val="00074A20"/>
    <w:rsid w:val="0007678C"/>
    <w:rsid w:val="00081F4D"/>
    <w:rsid w:val="00083FA2"/>
    <w:rsid w:val="00084085"/>
    <w:rsid w:val="000859BC"/>
    <w:rsid w:val="00087B99"/>
    <w:rsid w:val="00087D3D"/>
    <w:rsid w:val="00090CFA"/>
    <w:rsid w:val="00092076"/>
    <w:rsid w:val="000974D8"/>
    <w:rsid w:val="000A1CA7"/>
    <w:rsid w:val="000A2066"/>
    <w:rsid w:val="000A2A9A"/>
    <w:rsid w:val="000B684D"/>
    <w:rsid w:val="000C1534"/>
    <w:rsid w:val="000C1815"/>
    <w:rsid w:val="000C27C1"/>
    <w:rsid w:val="000C7727"/>
    <w:rsid w:val="000D0EE2"/>
    <w:rsid w:val="000D3A9E"/>
    <w:rsid w:val="000D3DAF"/>
    <w:rsid w:val="000D4B2E"/>
    <w:rsid w:val="000D6A43"/>
    <w:rsid w:val="000E0E16"/>
    <w:rsid w:val="000E1BEA"/>
    <w:rsid w:val="000E1EAA"/>
    <w:rsid w:val="000E28FD"/>
    <w:rsid w:val="000E34D4"/>
    <w:rsid w:val="000E38F0"/>
    <w:rsid w:val="000E57D6"/>
    <w:rsid w:val="000E6FF6"/>
    <w:rsid w:val="000F18A9"/>
    <w:rsid w:val="000F3F19"/>
    <w:rsid w:val="001020F0"/>
    <w:rsid w:val="00103192"/>
    <w:rsid w:val="001040FD"/>
    <w:rsid w:val="00104B6A"/>
    <w:rsid w:val="00106DCF"/>
    <w:rsid w:val="0011227F"/>
    <w:rsid w:val="00112CA3"/>
    <w:rsid w:val="00113EB7"/>
    <w:rsid w:val="0011613C"/>
    <w:rsid w:val="001179D6"/>
    <w:rsid w:val="00117DC0"/>
    <w:rsid w:val="00124C4C"/>
    <w:rsid w:val="001304D5"/>
    <w:rsid w:val="00131F3C"/>
    <w:rsid w:val="00134D02"/>
    <w:rsid w:val="001361CB"/>
    <w:rsid w:val="00136201"/>
    <w:rsid w:val="00137E9E"/>
    <w:rsid w:val="0014145F"/>
    <w:rsid w:val="00141AE7"/>
    <w:rsid w:val="00142809"/>
    <w:rsid w:val="001458AE"/>
    <w:rsid w:val="00147417"/>
    <w:rsid w:val="0015344C"/>
    <w:rsid w:val="0015728A"/>
    <w:rsid w:val="0016080C"/>
    <w:rsid w:val="00160E39"/>
    <w:rsid w:val="00165665"/>
    <w:rsid w:val="00166737"/>
    <w:rsid w:val="001670AE"/>
    <w:rsid w:val="00171805"/>
    <w:rsid w:val="001822D4"/>
    <w:rsid w:val="00183A3C"/>
    <w:rsid w:val="001903A5"/>
    <w:rsid w:val="00192C43"/>
    <w:rsid w:val="001935E5"/>
    <w:rsid w:val="00193D45"/>
    <w:rsid w:val="00195713"/>
    <w:rsid w:val="00196E58"/>
    <w:rsid w:val="0019740F"/>
    <w:rsid w:val="00197F96"/>
    <w:rsid w:val="001A176A"/>
    <w:rsid w:val="001A33D8"/>
    <w:rsid w:val="001A51A4"/>
    <w:rsid w:val="001A5233"/>
    <w:rsid w:val="001A7620"/>
    <w:rsid w:val="001B051D"/>
    <w:rsid w:val="001B2601"/>
    <w:rsid w:val="001B365D"/>
    <w:rsid w:val="001B3A18"/>
    <w:rsid w:val="001B4D9B"/>
    <w:rsid w:val="001B5A3F"/>
    <w:rsid w:val="001C63B1"/>
    <w:rsid w:val="001C68DB"/>
    <w:rsid w:val="001D05AA"/>
    <w:rsid w:val="001D11F9"/>
    <w:rsid w:val="001D1E2F"/>
    <w:rsid w:val="001D3F8F"/>
    <w:rsid w:val="001D4D72"/>
    <w:rsid w:val="001D589B"/>
    <w:rsid w:val="001D5B04"/>
    <w:rsid w:val="001D5C94"/>
    <w:rsid w:val="001D6284"/>
    <w:rsid w:val="001D6D53"/>
    <w:rsid w:val="001E08FF"/>
    <w:rsid w:val="001E49D3"/>
    <w:rsid w:val="001E4CB1"/>
    <w:rsid w:val="001E5DB1"/>
    <w:rsid w:val="001E78D7"/>
    <w:rsid w:val="001F001B"/>
    <w:rsid w:val="001F0A73"/>
    <w:rsid w:val="001F4B40"/>
    <w:rsid w:val="001F4B49"/>
    <w:rsid w:val="001F586F"/>
    <w:rsid w:val="001F5C87"/>
    <w:rsid w:val="00200AA7"/>
    <w:rsid w:val="0020166C"/>
    <w:rsid w:val="00203434"/>
    <w:rsid w:val="002044BC"/>
    <w:rsid w:val="00212469"/>
    <w:rsid w:val="00222B2A"/>
    <w:rsid w:val="0022320C"/>
    <w:rsid w:val="00224DC7"/>
    <w:rsid w:val="00225033"/>
    <w:rsid w:val="0022542F"/>
    <w:rsid w:val="0022653C"/>
    <w:rsid w:val="00226963"/>
    <w:rsid w:val="00230405"/>
    <w:rsid w:val="00230B0C"/>
    <w:rsid w:val="00230FD4"/>
    <w:rsid w:val="00231EF7"/>
    <w:rsid w:val="002341B9"/>
    <w:rsid w:val="00234D91"/>
    <w:rsid w:val="002350C2"/>
    <w:rsid w:val="0023626E"/>
    <w:rsid w:val="002363EF"/>
    <w:rsid w:val="002428E5"/>
    <w:rsid w:val="0024303B"/>
    <w:rsid w:val="00243C3F"/>
    <w:rsid w:val="00244E8F"/>
    <w:rsid w:val="002457DA"/>
    <w:rsid w:val="00246525"/>
    <w:rsid w:val="002479E5"/>
    <w:rsid w:val="00250080"/>
    <w:rsid w:val="00251BA1"/>
    <w:rsid w:val="00252476"/>
    <w:rsid w:val="0025549D"/>
    <w:rsid w:val="00256076"/>
    <w:rsid w:val="00256197"/>
    <w:rsid w:val="00260AAD"/>
    <w:rsid w:val="00261400"/>
    <w:rsid w:val="00262CBB"/>
    <w:rsid w:val="00262E0B"/>
    <w:rsid w:val="00263536"/>
    <w:rsid w:val="00263D72"/>
    <w:rsid w:val="0026595D"/>
    <w:rsid w:val="0026766B"/>
    <w:rsid w:val="002718A3"/>
    <w:rsid w:val="00271956"/>
    <w:rsid w:val="00272022"/>
    <w:rsid w:val="002742E8"/>
    <w:rsid w:val="00276784"/>
    <w:rsid w:val="00280D5D"/>
    <w:rsid w:val="002810A4"/>
    <w:rsid w:val="0028217A"/>
    <w:rsid w:val="002847D7"/>
    <w:rsid w:val="00284A9D"/>
    <w:rsid w:val="002859BA"/>
    <w:rsid w:val="00286352"/>
    <w:rsid w:val="002868F9"/>
    <w:rsid w:val="00292199"/>
    <w:rsid w:val="00293AFA"/>
    <w:rsid w:val="002A045F"/>
    <w:rsid w:val="002A18A3"/>
    <w:rsid w:val="002A2611"/>
    <w:rsid w:val="002A3230"/>
    <w:rsid w:val="002A7BE4"/>
    <w:rsid w:val="002B04DD"/>
    <w:rsid w:val="002B1D09"/>
    <w:rsid w:val="002B3946"/>
    <w:rsid w:val="002B3C84"/>
    <w:rsid w:val="002B4E01"/>
    <w:rsid w:val="002B4E9D"/>
    <w:rsid w:val="002B5375"/>
    <w:rsid w:val="002B5873"/>
    <w:rsid w:val="002B5B31"/>
    <w:rsid w:val="002B60F0"/>
    <w:rsid w:val="002B6C38"/>
    <w:rsid w:val="002C1823"/>
    <w:rsid w:val="002C1B07"/>
    <w:rsid w:val="002C31F5"/>
    <w:rsid w:val="002C35E9"/>
    <w:rsid w:val="002C4825"/>
    <w:rsid w:val="002C6318"/>
    <w:rsid w:val="002D0904"/>
    <w:rsid w:val="002D2A47"/>
    <w:rsid w:val="002D4660"/>
    <w:rsid w:val="002D5D05"/>
    <w:rsid w:val="002D6CC9"/>
    <w:rsid w:val="002D7BCB"/>
    <w:rsid w:val="002E1B10"/>
    <w:rsid w:val="002E1B9E"/>
    <w:rsid w:val="002E25B9"/>
    <w:rsid w:val="002E3F0A"/>
    <w:rsid w:val="002E4DF0"/>
    <w:rsid w:val="002F19A4"/>
    <w:rsid w:val="002F33F6"/>
    <w:rsid w:val="002F4EC2"/>
    <w:rsid w:val="002F64EC"/>
    <w:rsid w:val="002F7830"/>
    <w:rsid w:val="003003BA"/>
    <w:rsid w:val="003017FB"/>
    <w:rsid w:val="00302F1A"/>
    <w:rsid w:val="003037CD"/>
    <w:rsid w:val="003059D4"/>
    <w:rsid w:val="003109B7"/>
    <w:rsid w:val="00313BC8"/>
    <w:rsid w:val="00314DD8"/>
    <w:rsid w:val="00317261"/>
    <w:rsid w:val="003204D7"/>
    <w:rsid w:val="00323071"/>
    <w:rsid w:val="00324C57"/>
    <w:rsid w:val="003250AC"/>
    <w:rsid w:val="00327D81"/>
    <w:rsid w:val="003317EB"/>
    <w:rsid w:val="0033459F"/>
    <w:rsid w:val="003412C6"/>
    <w:rsid w:val="003444F4"/>
    <w:rsid w:val="00344F25"/>
    <w:rsid w:val="00351109"/>
    <w:rsid w:val="0035141C"/>
    <w:rsid w:val="00353DD9"/>
    <w:rsid w:val="00355963"/>
    <w:rsid w:val="003574D8"/>
    <w:rsid w:val="0036194C"/>
    <w:rsid w:val="00362807"/>
    <w:rsid w:val="0036387E"/>
    <w:rsid w:val="00365AA7"/>
    <w:rsid w:val="00370789"/>
    <w:rsid w:val="00370F22"/>
    <w:rsid w:val="00371999"/>
    <w:rsid w:val="00374198"/>
    <w:rsid w:val="00375CF3"/>
    <w:rsid w:val="003762B4"/>
    <w:rsid w:val="0037743E"/>
    <w:rsid w:val="00383DCE"/>
    <w:rsid w:val="00387BAC"/>
    <w:rsid w:val="00392172"/>
    <w:rsid w:val="00392960"/>
    <w:rsid w:val="00394F4B"/>
    <w:rsid w:val="00395A07"/>
    <w:rsid w:val="003963BD"/>
    <w:rsid w:val="003A007C"/>
    <w:rsid w:val="003A23AA"/>
    <w:rsid w:val="003A2652"/>
    <w:rsid w:val="003A2EA5"/>
    <w:rsid w:val="003A575A"/>
    <w:rsid w:val="003A6E3C"/>
    <w:rsid w:val="003B6127"/>
    <w:rsid w:val="003B6F12"/>
    <w:rsid w:val="003B77D2"/>
    <w:rsid w:val="003C0637"/>
    <w:rsid w:val="003C078A"/>
    <w:rsid w:val="003C2B35"/>
    <w:rsid w:val="003C3B01"/>
    <w:rsid w:val="003C450B"/>
    <w:rsid w:val="003C52DD"/>
    <w:rsid w:val="003C72CA"/>
    <w:rsid w:val="003C72D6"/>
    <w:rsid w:val="003D16E0"/>
    <w:rsid w:val="003D4DD7"/>
    <w:rsid w:val="003D7F85"/>
    <w:rsid w:val="003E141A"/>
    <w:rsid w:val="003E150A"/>
    <w:rsid w:val="003E4017"/>
    <w:rsid w:val="003E4735"/>
    <w:rsid w:val="003E5F0F"/>
    <w:rsid w:val="003F0B4D"/>
    <w:rsid w:val="003F4036"/>
    <w:rsid w:val="003F5701"/>
    <w:rsid w:val="003F6DE4"/>
    <w:rsid w:val="003F7B30"/>
    <w:rsid w:val="003F7D07"/>
    <w:rsid w:val="004000E8"/>
    <w:rsid w:val="00404898"/>
    <w:rsid w:val="00404AD2"/>
    <w:rsid w:val="00415528"/>
    <w:rsid w:val="00415957"/>
    <w:rsid w:val="00415C65"/>
    <w:rsid w:val="00416283"/>
    <w:rsid w:val="004200D6"/>
    <w:rsid w:val="00423885"/>
    <w:rsid w:val="00424847"/>
    <w:rsid w:val="004270D5"/>
    <w:rsid w:val="004305F8"/>
    <w:rsid w:val="004378D8"/>
    <w:rsid w:val="0044168C"/>
    <w:rsid w:val="0044185D"/>
    <w:rsid w:val="00442933"/>
    <w:rsid w:val="00442E1E"/>
    <w:rsid w:val="004441D9"/>
    <w:rsid w:val="0044789D"/>
    <w:rsid w:val="00450CD1"/>
    <w:rsid w:val="004575E5"/>
    <w:rsid w:val="00464470"/>
    <w:rsid w:val="00470285"/>
    <w:rsid w:val="00470E6B"/>
    <w:rsid w:val="0047339A"/>
    <w:rsid w:val="004743BF"/>
    <w:rsid w:val="00474C90"/>
    <w:rsid w:val="00476FBE"/>
    <w:rsid w:val="004770FF"/>
    <w:rsid w:val="00482845"/>
    <w:rsid w:val="00482B6F"/>
    <w:rsid w:val="00482EFD"/>
    <w:rsid w:val="0048371A"/>
    <w:rsid w:val="0048710C"/>
    <w:rsid w:val="0049346D"/>
    <w:rsid w:val="00497C61"/>
    <w:rsid w:val="004A1546"/>
    <w:rsid w:val="004A222C"/>
    <w:rsid w:val="004A258F"/>
    <w:rsid w:val="004A33B3"/>
    <w:rsid w:val="004A6757"/>
    <w:rsid w:val="004A7EC2"/>
    <w:rsid w:val="004B06A3"/>
    <w:rsid w:val="004B0E16"/>
    <w:rsid w:val="004B1914"/>
    <w:rsid w:val="004C08CB"/>
    <w:rsid w:val="004C2501"/>
    <w:rsid w:val="004C32D9"/>
    <w:rsid w:val="004D0A4E"/>
    <w:rsid w:val="004D2226"/>
    <w:rsid w:val="004D4BD8"/>
    <w:rsid w:val="004D5B62"/>
    <w:rsid w:val="004E0908"/>
    <w:rsid w:val="004E2AE5"/>
    <w:rsid w:val="004F1273"/>
    <w:rsid w:val="004F12E4"/>
    <w:rsid w:val="004F2A1D"/>
    <w:rsid w:val="004F3CBB"/>
    <w:rsid w:val="004F4079"/>
    <w:rsid w:val="004F42FD"/>
    <w:rsid w:val="004F48DD"/>
    <w:rsid w:val="00500A60"/>
    <w:rsid w:val="00502EEC"/>
    <w:rsid w:val="00503492"/>
    <w:rsid w:val="005050AC"/>
    <w:rsid w:val="00505B69"/>
    <w:rsid w:val="00506C6C"/>
    <w:rsid w:val="00506C77"/>
    <w:rsid w:val="00506D70"/>
    <w:rsid w:val="0051090E"/>
    <w:rsid w:val="005113D5"/>
    <w:rsid w:val="00512817"/>
    <w:rsid w:val="00512D78"/>
    <w:rsid w:val="005144BD"/>
    <w:rsid w:val="0051464B"/>
    <w:rsid w:val="00515141"/>
    <w:rsid w:val="005179F9"/>
    <w:rsid w:val="00517BF7"/>
    <w:rsid w:val="0052119E"/>
    <w:rsid w:val="0052322A"/>
    <w:rsid w:val="005241E8"/>
    <w:rsid w:val="005242C1"/>
    <w:rsid w:val="00532DA5"/>
    <w:rsid w:val="00533A91"/>
    <w:rsid w:val="0053537C"/>
    <w:rsid w:val="00541B68"/>
    <w:rsid w:val="00543222"/>
    <w:rsid w:val="00543E58"/>
    <w:rsid w:val="00545331"/>
    <w:rsid w:val="00550344"/>
    <w:rsid w:val="005511E6"/>
    <w:rsid w:val="00551C35"/>
    <w:rsid w:val="00552435"/>
    <w:rsid w:val="005528B0"/>
    <w:rsid w:val="0055295C"/>
    <w:rsid w:val="00553403"/>
    <w:rsid w:val="00563FB8"/>
    <w:rsid w:val="005659FD"/>
    <w:rsid w:val="005731F3"/>
    <w:rsid w:val="0057326B"/>
    <w:rsid w:val="005756E9"/>
    <w:rsid w:val="00576B16"/>
    <w:rsid w:val="005779BE"/>
    <w:rsid w:val="005820D8"/>
    <w:rsid w:val="005821D0"/>
    <w:rsid w:val="00583248"/>
    <w:rsid w:val="005833BD"/>
    <w:rsid w:val="00587206"/>
    <w:rsid w:val="00587745"/>
    <w:rsid w:val="005901B7"/>
    <w:rsid w:val="005909C8"/>
    <w:rsid w:val="00597699"/>
    <w:rsid w:val="005A2BEC"/>
    <w:rsid w:val="005A7749"/>
    <w:rsid w:val="005B4790"/>
    <w:rsid w:val="005B4989"/>
    <w:rsid w:val="005C0C67"/>
    <w:rsid w:val="005C1983"/>
    <w:rsid w:val="005C50D7"/>
    <w:rsid w:val="005C7693"/>
    <w:rsid w:val="005C76FE"/>
    <w:rsid w:val="005D1D59"/>
    <w:rsid w:val="005D4B67"/>
    <w:rsid w:val="005D568C"/>
    <w:rsid w:val="005D707E"/>
    <w:rsid w:val="005E0D2F"/>
    <w:rsid w:val="005E1A41"/>
    <w:rsid w:val="005E24F7"/>
    <w:rsid w:val="005E2946"/>
    <w:rsid w:val="005E4EC7"/>
    <w:rsid w:val="005F038E"/>
    <w:rsid w:val="005F0A7A"/>
    <w:rsid w:val="005F1707"/>
    <w:rsid w:val="005F6709"/>
    <w:rsid w:val="00600C6D"/>
    <w:rsid w:val="00610912"/>
    <w:rsid w:val="00610E67"/>
    <w:rsid w:val="0061123B"/>
    <w:rsid w:val="00612A80"/>
    <w:rsid w:val="0061379B"/>
    <w:rsid w:val="006150E9"/>
    <w:rsid w:val="00615AD4"/>
    <w:rsid w:val="00617974"/>
    <w:rsid w:val="00621BD3"/>
    <w:rsid w:val="0062238D"/>
    <w:rsid w:val="006227CD"/>
    <w:rsid w:val="006228FF"/>
    <w:rsid w:val="00622E8D"/>
    <w:rsid w:val="0062323A"/>
    <w:rsid w:val="00624A7D"/>
    <w:rsid w:val="00625DAF"/>
    <w:rsid w:val="0062615A"/>
    <w:rsid w:val="006262D0"/>
    <w:rsid w:val="00627BA3"/>
    <w:rsid w:val="00632543"/>
    <w:rsid w:val="0063542E"/>
    <w:rsid w:val="00637081"/>
    <w:rsid w:val="0063734F"/>
    <w:rsid w:val="00637980"/>
    <w:rsid w:val="0064089E"/>
    <w:rsid w:val="00646AB1"/>
    <w:rsid w:val="0065261E"/>
    <w:rsid w:val="0065308E"/>
    <w:rsid w:val="00653993"/>
    <w:rsid w:val="00654562"/>
    <w:rsid w:val="00654DAB"/>
    <w:rsid w:val="00654FCF"/>
    <w:rsid w:val="006556B6"/>
    <w:rsid w:val="006560C3"/>
    <w:rsid w:val="00656A37"/>
    <w:rsid w:val="00657BC8"/>
    <w:rsid w:val="006604BF"/>
    <w:rsid w:val="00662324"/>
    <w:rsid w:val="00662C6C"/>
    <w:rsid w:val="00663FAF"/>
    <w:rsid w:val="006708F1"/>
    <w:rsid w:val="00676CF6"/>
    <w:rsid w:val="006773E4"/>
    <w:rsid w:val="006811B5"/>
    <w:rsid w:val="006823C8"/>
    <w:rsid w:val="00683E11"/>
    <w:rsid w:val="00684271"/>
    <w:rsid w:val="006845B5"/>
    <w:rsid w:val="00686DBD"/>
    <w:rsid w:val="006907B3"/>
    <w:rsid w:val="006923BF"/>
    <w:rsid w:val="006926F9"/>
    <w:rsid w:val="00692879"/>
    <w:rsid w:val="006A095B"/>
    <w:rsid w:val="006A11F7"/>
    <w:rsid w:val="006A69B9"/>
    <w:rsid w:val="006A6BB6"/>
    <w:rsid w:val="006A769B"/>
    <w:rsid w:val="006B2C09"/>
    <w:rsid w:val="006B77A8"/>
    <w:rsid w:val="006B7AAA"/>
    <w:rsid w:val="006C09EF"/>
    <w:rsid w:val="006C117D"/>
    <w:rsid w:val="006C3F6B"/>
    <w:rsid w:val="006C4610"/>
    <w:rsid w:val="006C58CD"/>
    <w:rsid w:val="006C6043"/>
    <w:rsid w:val="006C7DD7"/>
    <w:rsid w:val="006D007F"/>
    <w:rsid w:val="006D1219"/>
    <w:rsid w:val="006D277F"/>
    <w:rsid w:val="006E5C40"/>
    <w:rsid w:val="006E765C"/>
    <w:rsid w:val="006E7C52"/>
    <w:rsid w:val="006E7F7E"/>
    <w:rsid w:val="006F4E4B"/>
    <w:rsid w:val="006F51F0"/>
    <w:rsid w:val="006F5964"/>
    <w:rsid w:val="006F69A8"/>
    <w:rsid w:val="006F6BAA"/>
    <w:rsid w:val="006F6DBB"/>
    <w:rsid w:val="007036CC"/>
    <w:rsid w:val="00703DC2"/>
    <w:rsid w:val="00705910"/>
    <w:rsid w:val="00707E26"/>
    <w:rsid w:val="00707EA8"/>
    <w:rsid w:val="00714663"/>
    <w:rsid w:val="00714AA4"/>
    <w:rsid w:val="007169D4"/>
    <w:rsid w:val="00720305"/>
    <w:rsid w:val="00721765"/>
    <w:rsid w:val="00722532"/>
    <w:rsid w:val="00722DEB"/>
    <w:rsid w:val="00726191"/>
    <w:rsid w:val="007263D5"/>
    <w:rsid w:val="00726E9D"/>
    <w:rsid w:val="0073211D"/>
    <w:rsid w:val="00733BF9"/>
    <w:rsid w:val="00733D2E"/>
    <w:rsid w:val="007465F3"/>
    <w:rsid w:val="007469C1"/>
    <w:rsid w:val="007478CB"/>
    <w:rsid w:val="0075081E"/>
    <w:rsid w:val="00750C60"/>
    <w:rsid w:val="00754E41"/>
    <w:rsid w:val="00755B8C"/>
    <w:rsid w:val="00756040"/>
    <w:rsid w:val="0075617C"/>
    <w:rsid w:val="007561DC"/>
    <w:rsid w:val="00757AFD"/>
    <w:rsid w:val="00761218"/>
    <w:rsid w:val="007623C6"/>
    <w:rsid w:val="00762813"/>
    <w:rsid w:val="00763670"/>
    <w:rsid w:val="00764F7F"/>
    <w:rsid w:val="00765020"/>
    <w:rsid w:val="00766AF3"/>
    <w:rsid w:val="00770900"/>
    <w:rsid w:val="007715C6"/>
    <w:rsid w:val="007719C2"/>
    <w:rsid w:val="00771B5C"/>
    <w:rsid w:val="00771E97"/>
    <w:rsid w:val="0077709B"/>
    <w:rsid w:val="0078021B"/>
    <w:rsid w:val="007828B2"/>
    <w:rsid w:val="0078530E"/>
    <w:rsid w:val="00787C28"/>
    <w:rsid w:val="00790776"/>
    <w:rsid w:val="00793DE9"/>
    <w:rsid w:val="007942C8"/>
    <w:rsid w:val="0079597D"/>
    <w:rsid w:val="0079632F"/>
    <w:rsid w:val="007974D1"/>
    <w:rsid w:val="007A0BF8"/>
    <w:rsid w:val="007A15C9"/>
    <w:rsid w:val="007A3099"/>
    <w:rsid w:val="007A3627"/>
    <w:rsid w:val="007A3A4B"/>
    <w:rsid w:val="007A4573"/>
    <w:rsid w:val="007A6BA3"/>
    <w:rsid w:val="007B00CC"/>
    <w:rsid w:val="007B1409"/>
    <w:rsid w:val="007B1A5A"/>
    <w:rsid w:val="007B2A7A"/>
    <w:rsid w:val="007B50CC"/>
    <w:rsid w:val="007B5D6A"/>
    <w:rsid w:val="007B61E4"/>
    <w:rsid w:val="007B7D38"/>
    <w:rsid w:val="007C3FB8"/>
    <w:rsid w:val="007D1341"/>
    <w:rsid w:val="007D1859"/>
    <w:rsid w:val="007D1B74"/>
    <w:rsid w:val="007D1D1F"/>
    <w:rsid w:val="007D2718"/>
    <w:rsid w:val="007D5221"/>
    <w:rsid w:val="007D62F8"/>
    <w:rsid w:val="007E3AEC"/>
    <w:rsid w:val="007E40B4"/>
    <w:rsid w:val="007E4CC2"/>
    <w:rsid w:val="007F09CA"/>
    <w:rsid w:val="007F0E02"/>
    <w:rsid w:val="007F248E"/>
    <w:rsid w:val="007F29FF"/>
    <w:rsid w:val="007F2A87"/>
    <w:rsid w:val="007F32B0"/>
    <w:rsid w:val="007F33E6"/>
    <w:rsid w:val="007F373A"/>
    <w:rsid w:val="007F67E3"/>
    <w:rsid w:val="007F6BAF"/>
    <w:rsid w:val="007F7397"/>
    <w:rsid w:val="007F7423"/>
    <w:rsid w:val="008001AA"/>
    <w:rsid w:val="00800210"/>
    <w:rsid w:val="00801CB2"/>
    <w:rsid w:val="00802734"/>
    <w:rsid w:val="00803C80"/>
    <w:rsid w:val="00803E7E"/>
    <w:rsid w:val="0080432B"/>
    <w:rsid w:val="0080588E"/>
    <w:rsid w:val="008104CC"/>
    <w:rsid w:val="0081054E"/>
    <w:rsid w:val="00813138"/>
    <w:rsid w:val="00815922"/>
    <w:rsid w:val="00815DB3"/>
    <w:rsid w:val="00823812"/>
    <w:rsid w:val="00824439"/>
    <w:rsid w:val="0082594C"/>
    <w:rsid w:val="0082679D"/>
    <w:rsid w:val="008312C6"/>
    <w:rsid w:val="00832B1A"/>
    <w:rsid w:val="0083327C"/>
    <w:rsid w:val="00833A77"/>
    <w:rsid w:val="00836743"/>
    <w:rsid w:val="00837EA8"/>
    <w:rsid w:val="0084230F"/>
    <w:rsid w:val="00842686"/>
    <w:rsid w:val="0084478A"/>
    <w:rsid w:val="00844A34"/>
    <w:rsid w:val="008522C7"/>
    <w:rsid w:val="00852CBA"/>
    <w:rsid w:val="00855D8E"/>
    <w:rsid w:val="00857936"/>
    <w:rsid w:val="00870E47"/>
    <w:rsid w:val="008729D8"/>
    <w:rsid w:val="00872F5A"/>
    <w:rsid w:val="0087511D"/>
    <w:rsid w:val="0087551C"/>
    <w:rsid w:val="008758D4"/>
    <w:rsid w:val="00875D2B"/>
    <w:rsid w:val="008777B4"/>
    <w:rsid w:val="00880E9F"/>
    <w:rsid w:val="0088685D"/>
    <w:rsid w:val="00887CE3"/>
    <w:rsid w:val="00891323"/>
    <w:rsid w:val="00891FDD"/>
    <w:rsid w:val="008928FF"/>
    <w:rsid w:val="00892A73"/>
    <w:rsid w:val="0089317D"/>
    <w:rsid w:val="00893D08"/>
    <w:rsid w:val="00893F0A"/>
    <w:rsid w:val="00895F27"/>
    <w:rsid w:val="008962AC"/>
    <w:rsid w:val="008A0059"/>
    <w:rsid w:val="008A01FD"/>
    <w:rsid w:val="008A0449"/>
    <w:rsid w:val="008A115C"/>
    <w:rsid w:val="008A1A78"/>
    <w:rsid w:val="008A2B11"/>
    <w:rsid w:val="008A531A"/>
    <w:rsid w:val="008B10C8"/>
    <w:rsid w:val="008B129E"/>
    <w:rsid w:val="008B1F0F"/>
    <w:rsid w:val="008B5D52"/>
    <w:rsid w:val="008B7036"/>
    <w:rsid w:val="008C174B"/>
    <w:rsid w:val="008C1AA1"/>
    <w:rsid w:val="008C430B"/>
    <w:rsid w:val="008D2A83"/>
    <w:rsid w:val="008D451B"/>
    <w:rsid w:val="008D7BA2"/>
    <w:rsid w:val="008E1951"/>
    <w:rsid w:val="008E54E5"/>
    <w:rsid w:val="008F2938"/>
    <w:rsid w:val="008F312D"/>
    <w:rsid w:val="008F5E79"/>
    <w:rsid w:val="008F6E35"/>
    <w:rsid w:val="00900521"/>
    <w:rsid w:val="009014E5"/>
    <w:rsid w:val="009026BB"/>
    <w:rsid w:val="00903AC0"/>
    <w:rsid w:val="00907533"/>
    <w:rsid w:val="0091081D"/>
    <w:rsid w:val="00910B4C"/>
    <w:rsid w:val="009113E6"/>
    <w:rsid w:val="009141BC"/>
    <w:rsid w:val="00914423"/>
    <w:rsid w:val="00914F8F"/>
    <w:rsid w:val="00917295"/>
    <w:rsid w:val="00917711"/>
    <w:rsid w:val="009201DC"/>
    <w:rsid w:val="009218D1"/>
    <w:rsid w:val="00922225"/>
    <w:rsid w:val="00923246"/>
    <w:rsid w:val="00925D1D"/>
    <w:rsid w:val="00927AF1"/>
    <w:rsid w:val="00932B55"/>
    <w:rsid w:val="00940F1B"/>
    <w:rsid w:val="00952A79"/>
    <w:rsid w:val="009556F2"/>
    <w:rsid w:val="00960A03"/>
    <w:rsid w:val="009623EA"/>
    <w:rsid w:val="00963032"/>
    <w:rsid w:val="00963151"/>
    <w:rsid w:val="00964B6F"/>
    <w:rsid w:val="00972675"/>
    <w:rsid w:val="00973EE7"/>
    <w:rsid w:val="00974299"/>
    <w:rsid w:val="0097465B"/>
    <w:rsid w:val="00976955"/>
    <w:rsid w:val="00976F0B"/>
    <w:rsid w:val="00977078"/>
    <w:rsid w:val="00977FFC"/>
    <w:rsid w:val="00977FFE"/>
    <w:rsid w:val="00981024"/>
    <w:rsid w:val="009839C0"/>
    <w:rsid w:val="00986D0F"/>
    <w:rsid w:val="0098738F"/>
    <w:rsid w:val="009902A0"/>
    <w:rsid w:val="0099288F"/>
    <w:rsid w:val="00992B4F"/>
    <w:rsid w:val="009933FB"/>
    <w:rsid w:val="00994487"/>
    <w:rsid w:val="00997E01"/>
    <w:rsid w:val="009A1DA3"/>
    <w:rsid w:val="009A311F"/>
    <w:rsid w:val="009A75EB"/>
    <w:rsid w:val="009A7940"/>
    <w:rsid w:val="009B15A2"/>
    <w:rsid w:val="009B373D"/>
    <w:rsid w:val="009B3971"/>
    <w:rsid w:val="009B3A2F"/>
    <w:rsid w:val="009B4E11"/>
    <w:rsid w:val="009B6E2B"/>
    <w:rsid w:val="009B713A"/>
    <w:rsid w:val="009C1FF0"/>
    <w:rsid w:val="009C5654"/>
    <w:rsid w:val="009C5CEC"/>
    <w:rsid w:val="009C5D88"/>
    <w:rsid w:val="009C7843"/>
    <w:rsid w:val="009D099F"/>
    <w:rsid w:val="009D1438"/>
    <w:rsid w:val="009D1F01"/>
    <w:rsid w:val="009D54BC"/>
    <w:rsid w:val="009D701A"/>
    <w:rsid w:val="009E1390"/>
    <w:rsid w:val="009E24BD"/>
    <w:rsid w:val="009E281A"/>
    <w:rsid w:val="009E466E"/>
    <w:rsid w:val="009E7A7C"/>
    <w:rsid w:val="009E7CE2"/>
    <w:rsid w:val="009F06CD"/>
    <w:rsid w:val="009F1BEC"/>
    <w:rsid w:val="009F5F17"/>
    <w:rsid w:val="009F69B8"/>
    <w:rsid w:val="00A0056F"/>
    <w:rsid w:val="00A006C4"/>
    <w:rsid w:val="00A00BB2"/>
    <w:rsid w:val="00A01532"/>
    <w:rsid w:val="00A045D8"/>
    <w:rsid w:val="00A06B28"/>
    <w:rsid w:val="00A079D7"/>
    <w:rsid w:val="00A113C5"/>
    <w:rsid w:val="00A117E6"/>
    <w:rsid w:val="00A133DA"/>
    <w:rsid w:val="00A1537A"/>
    <w:rsid w:val="00A170B3"/>
    <w:rsid w:val="00A178E9"/>
    <w:rsid w:val="00A203D9"/>
    <w:rsid w:val="00A2164D"/>
    <w:rsid w:val="00A21E3E"/>
    <w:rsid w:val="00A27FB8"/>
    <w:rsid w:val="00A334B1"/>
    <w:rsid w:val="00A35069"/>
    <w:rsid w:val="00A350F0"/>
    <w:rsid w:val="00A43529"/>
    <w:rsid w:val="00A4461D"/>
    <w:rsid w:val="00A450C6"/>
    <w:rsid w:val="00A45AC9"/>
    <w:rsid w:val="00A47B36"/>
    <w:rsid w:val="00A5111A"/>
    <w:rsid w:val="00A51CFD"/>
    <w:rsid w:val="00A53915"/>
    <w:rsid w:val="00A54024"/>
    <w:rsid w:val="00A5460F"/>
    <w:rsid w:val="00A61EFF"/>
    <w:rsid w:val="00A62D73"/>
    <w:rsid w:val="00A65B3A"/>
    <w:rsid w:val="00A66356"/>
    <w:rsid w:val="00A6779B"/>
    <w:rsid w:val="00A7027C"/>
    <w:rsid w:val="00A70702"/>
    <w:rsid w:val="00A741AA"/>
    <w:rsid w:val="00A748B1"/>
    <w:rsid w:val="00A75079"/>
    <w:rsid w:val="00A80D6C"/>
    <w:rsid w:val="00A81126"/>
    <w:rsid w:val="00A81427"/>
    <w:rsid w:val="00A81759"/>
    <w:rsid w:val="00A85461"/>
    <w:rsid w:val="00A94573"/>
    <w:rsid w:val="00A94B77"/>
    <w:rsid w:val="00A97E28"/>
    <w:rsid w:val="00AA0004"/>
    <w:rsid w:val="00AA2402"/>
    <w:rsid w:val="00AA378F"/>
    <w:rsid w:val="00AA3EDF"/>
    <w:rsid w:val="00AA4C01"/>
    <w:rsid w:val="00AA56E5"/>
    <w:rsid w:val="00AA6043"/>
    <w:rsid w:val="00AA63CB"/>
    <w:rsid w:val="00AB0584"/>
    <w:rsid w:val="00AB1310"/>
    <w:rsid w:val="00AB2D00"/>
    <w:rsid w:val="00AB3AE8"/>
    <w:rsid w:val="00AB4461"/>
    <w:rsid w:val="00AB45C6"/>
    <w:rsid w:val="00AB48DF"/>
    <w:rsid w:val="00AB4C0E"/>
    <w:rsid w:val="00AB5D1E"/>
    <w:rsid w:val="00AB615C"/>
    <w:rsid w:val="00AB6C76"/>
    <w:rsid w:val="00AC0124"/>
    <w:rsid w:val="00AC0EA0"/>
    <w:rsid w:val="00AC118A"/>
    <w:rsid w:val="00AC2E83"/>
    <w:rsid w:val="00AC5F9C"/>
    <w:rsid w:val="00AD33D5"/>
    <w:rsid w:val="00AD43EE"/>
    <w:rsid w:val="00AD5354"/>
    <w:rsid w:val="00AD583B"/>
    <w:rsid w:val="00AE03CF"/>
    <w:rsid w:val="00AE1E3B"/>
    <w:rsid w:val="00AE4502"/>
    <w:rsid w:val="00AE5D8C"/>
    <w:rsid w:val="00AE6B2D"/>
    <w:rsid w:val="00AE755A"/>
    <w:rsid w:val="00AF6B2F"/>
    <w:rsid w:val="00AF6F2B"/>
    <w:rsid w:val="00AF78D0"/>
    <w:rsid w:val="00AF7E79"/>
    <w:rsid w:val="00B01ED7"/>
    <w:rsid w:val="00B03D6B"/>
    <w:rsid w:val="00B06473"/>
    <w:rsid w:val="00B102A4"/>
    <w:rsid w:val="00B10A73"/>
    <w:rsid w:val="00B10FAD"/>
    <w:rsid w:val="00B116A1"/>
    <w:rsid w:val="00B1190F"/>
    <w:rsid w:val="00B1475B"/>
    <w:rsid w:val="00B21606"/>
    <w:rsid w:val="00B216A3"/>
    <w:rsid w:val="00B229FB"/>
    <w:rsid w:val="00B23B2F"/>
    <w:rsid w:val="00B23E4F"/>
    <w:rsid w:val="00B25FC2"/>
    <w:rsid w:val="00B272E3"/>
    <w:rsid w:val="00B27488"/>
    <w:rsid w:val="00B32865"/>
    <w:rsid w:val="00B33853"/>
    <w:rsid w:val="00B338E2"/>
    <w:rsid w:val="00B36423"/>
    <w:rsid w:val="00B42430"/>
    <w:rsid w:val="00B55255"/>
    <w:rsid w:val="00B554EE"/>
    <w:rsid w:val="00B55671"/>
    <w:rsid w:val="00B55DC7"/>
    <w:rsid w:val="00B6364F"/>
    <w:rsid w:val="00B63797"/>
    <w:rsid w:val="00B63FD9"/>
    <w:rsid w:val="00B65F09"/>
    <w:rsid w:val="00B66BEA"/>
    <w:rsid w:val="00B67101"/>
    <w:rsid w:val="00B7421D"/>
    <w:rsid w:val="00B75D5E"/>
    <w:rsid w:val="00B768A2"/>
    <w:rsid w:val="00B822B1"/>
    <w:rsid w:val="00B831FE"/>
    <w:rsid w:val="00B8372C"/>
    <w:rsid w:val="00B846B8"/>
    <w:rsid w:val="00B84D83"/>
    <w:rsid w:val="00B84F39"/>
    <w:rsid w:val="00B91A5C"/>
    <w:rsid w:val="00B92E7E"/>
    <w:rsid w:val="00B92FF9"/>
    <w:rsid w:val="00B9379F"/>
    <w:rsid w:val="00B93AF2"/>
    <w:rsid w:val="00B94C4E"/>
    <w:rsid w:val="00B96BA2"/>
    <w:rsid w:val="00BA08F8"/>
    <w:rsid w:val="00BA3370"/>
    <w:rsid w:val="00BA3C1C"/>
    <w:rsid w:val="00BA3F47"/>
    <w:rsid w:val="00BA3F5D"/>
    <w:rsid w:val="00BA703E"/>
    <w:rsid w:val="00BB0C26"/>
    <w:rsid w:val="00BB3832"/>
    <w:rsid w:val="00BB528C"/>
    <w:rsid w:val="00BB6692"/>
    <w:rsid w:val="00BC1256"/>
    <w:rsid w:val="00BC19F7"/>
    <w:rsid w:val="00BC515F"/>
    <w:rsid w:val="00BC6316"/>
    <w:rsid w:val="00BC69E4"/>
    <w:rsid w:val="00BC6BB4"/>
    <w:rsid w:val="00BC6C9C"/>
    <w:rsid w:val="00BD1F9A"/>
    <w:rsid w:val="00BD230A"/>
    <w:rsid w:val="00BD3545"/>
    <w:rsid w:val="00BD3885"/>
    <w:rsid w:val="00BD3942"/>
    <w:rsid w:val="00BD6458"/>
    <w:rsid w:val="00BD7A10"/>
    <w:rsid w:val="00BD7B61"/>
    <w:rsid w:val="00BE111C"/>
    <w:rsid w:val="00BE2822"/>
    <w:rsid w:val="00BE519D"/>
    <w:rsid w:val="00BE57D0"/>
    <w:rsid w:val="00BE725A"/>
    <w:rsid w:val="00BE75B9"/>
    <w:rsid w:val="00BF009B"/>
    <w:rsid w:val="00BF0E28"/>
    <w:rsid w:val="00BF1717"/>
    <w:rsid w:val="00BF1E20"/>
    <w:rsid w:val="00BF4507"/>
    <w:rsid w:val="00BF4661"/>
    <w:rsid w:val="00BF6981"/>
    <w:rsid w:val="00BF6F19"/>
    <w:rsid w:val="00C04E3C"/>
    <w:rsid w:val="00C05482"/>
    <w:rsid w:val="00C12DA9"/>
    <w:rsid w:val="00C1477B"/>
    <w:rsid w:val="00C15877"/>
    <w:rsid w:val="00C158F0"/>
    <w:rsid w:val="00C20C44"/>
    <w:rsid w:val="00C25466"/>
    <w:rsid w:val="00C2676C"/>
    <w:rsid w:val="00C30BEF"/>
    <w:rsid w:val="00C30DE2"/>
    <w:rsid w:val="00C31844"/>
    <w:rsid w:val="00C36E50"/>
    <w:rsid w:val="00C372EA"/>
    <w:rsid w:val="00C4064C"/>
    <w:rsid w:val="00C43B14"/>
    <w:rsid w:val="00C46982"/>
    <w:rsid w:val="00C50E20"/>
    <w:rsid w:val="00C516CF"/>
    <w:rsid w:val="00C53798"/>
    <w:rsid w:val="00C56D80"/>
    <w:rsid w:val="00C571F6"/>
    <w:rsid w:val="00C60E68"/>
    <w:rsid w:val="00C61320"/>
    <w:rsid w:val="00C643B9"/>
    <w:rsid w:val="00C65131"/>
    <w:rsid w:val="00C66836"/>
    <w:rsid w:val="00C66BC4"/>
    <w:rsid w:val="00C67DF1"/>
    <w:rsid w:val="00C67EBC"/>
    <w:rsid w:val="00C7101F"/>
    <w:rsid w:val="00C713D8"/>
    <w:rsid w:val="00C717B1"/>
    <w:rsid w:val="00C72558"/>
    <w:rsid w:val="00C75A0E"/>
    <w:rsid w:val="00C75A8A"/>
    <w:rsid w:val="00C77048"/>
    <w:rsid w:val="00C807A7"/>
    <w:rsid w:val="00C81BD5"/>
    <w:rsid w:val="00C82FF5"/>
    <w:rsid w:val="00C84C78"/>
    <w:rsid w:val="00C85844"/>
    <w:rsid w:val="00C874F1"/>
    <w:rsid w:val="00C8762A"/>
    <w:rsid w:val="00C92A5B"/>
    <w:rsid w:val="00C93D07"/>
    <w:rsid w:val="00C95F5D"/>
    <w:rsid w:val="00C97DE2"/>
    <w:rsid w:val="00C97DE3"/>
    <w:rsid w:val="00CA0E75"/>
    <w:rsid w:val="00CA40CE"/>
    <w:rsid w:val="00CA421B"/>
    <w:rsid w:val="00CA4E6A"/>
    <w:rsid w:val="00CA5BB0"/>
    <w:rsid w:val="00CA7278"/>
    <w:rsid w:val="00CA7673"/>
    <w:rsid w:val="00CA784D"/>
    <w:rsid w:val="00CB286A"/>
    <w:rsid w:val="00CB4DD7"/>
    <w:rsid w:val="00CB692D"/>
    <w:rsid w:val="00CB6F54"/>
    <w:rsid w:val="00CB7450"/>
    <w:rsid w:val="00CC0AE4"/>
    <w:rsid w:val="00CC7234"/>
    <w:rsid w:val="00CD344C"/>
    <w:rsid w:val="00CD4174"/>
    <w:rsid w:val="00CD41A2"/>
    <w:rsid w:val="00CD6261"/>
    <w:rsid w:val="00CD638B"/>
    <w:rsid w:val="00CE1C98"/>
    <w:rsid w:val="00CE2302"/>
    <w:rsid w:val="00CE6848"/>
    <w:rsid w:val="00CE7136"/>
    <w:rsid w:val="00CF04C1"/>
    <w:rsid w:val="00CF0982"/>
    <w:rsid w:val="00CF196C"/>
    <w:rsid w:val="00CF4273"/>
    <w:rsid w:val="00CF5342"/>
    <w:rsid w:val="00CF5ACB"/>
    <w:rsid w:val="00CF5D37"/>
    <w:rsid w:val="00CF6B39"/>
    <w:rsid w:val="00D0067C"/>
    <w:rsid w:val="00D00DBB"/>
    <w:rsid w:val="00D013AA"/>
    <w:rsid w:val="00D02203"/>
    <w:rsid w:val="00D0294D"/>
    <w:rsid w:val="00D0319B"/>
    <w:rsid w:val="00D035FB"/>
    <w:rsid w:val="00D2128F"/>
    <w:rsid w:val="00D21C38"/>
    <w:rsid w:val="00D21F38"/>
    <w:rsid w:val="00D232F3"/>
    <w:rsid w:val="00D23453"/>
    <w:rsid w:val="00D23B33"/>
    <w:rsid w:val="00D25C5F"/>
    <w:rsid w:val="00D26A66"/>
    <w:rsid w:val="00D33A1E"/>
    <w:rsid w:val="00D35928"/>
    <w:rsid w:val="00D35D0A"/>
    <w:rsid w:val="00D40F9E"/>
    <w:rsid w:val="00D42CC7"/>
    <w:rsid w:val="00D45FB9"/>
    <w:rsid w:val="00D4662B"/>
    <w:rsid w:val="00D52631"/>
    <w:rsid w:val="00D550FB"/>
    <w:rsid w:val="00D560A9"/>
    <w:rsid w:val="00D61B7C"/>
    <w:rsid w:val="00D6236A"/>
    <w:rsid w:val="00D64C5D"/>
    <w:rsid w:val="00D7016D"/>
    <w:rsid w:val="00D71691"/>
    <w:rsid w:val="00D71992"/>
    <w:rsid w:val="00D71C2C"/>
    <w:rsid w:val="00D725BE"/>
    <w:rsid w:val="00D72D7D"/>
    <w:rsid w:val="00D75DE4"/>
    <w:rsid w:val="00D800B1"/>
    <w:rsid w:val="00D8126E"/>
    <w:rsid w:val="00D819C1"/>
    <w:rsid w:val="00D81CF6"/>
    <w:rsid w:val="00D847C6"/>
    <w:rsid w:val="00D8627A"/>
    <w:rsid w:val="00D87216"/>
    <w:rsid w:val="00D87961"/>
    <w:rsid w:val="00D87962"/>
    <w:rsid w:val="00D90022"/>
    <w:rsid w:val="00D90734"/>
    <w:rsid w:val="00D91B03"/>
    <w:rsid w:val="00D92ABF"/>
    <w:rsid w:val="00D94099"/>
    <w:rsid w:val="00D95666"/>
    <w:rsid w:val="00D95FB4"/>
    <w:rsid w:val="00DA206C"/>
    <w:rsid w:val="00DA2890"/>
    <w:rsid w:val="00DA3212"/>
    <w:rsid w:val="00DA39D6"/>
    <w:rsid w:val="00DA4104"/>
    <w:rsid w:val="00DA4744"/>
    <w:rsid w:val="00DA489D"/>
    <w:rsid w:val="00DA70B3"/>
    <w:rsid w:val="00DB0B0F"/>
    <w:rsid w:val="00DB0FEF"/>
    <w:rsid w:val="00DB31D5"/>
    <w:rsid w:val="00DB32E6"/>
    <w:rsid w:val="00DB5F26"/>
    <w:rsid w:val="00DB6296"/>
    <w:rsid w:val="00DC1B1F"/>
    <w:rsid w:val="00DC30DA"/>
    <w:rsid w:val="00DC34C4"/>
    <w:rsid w:val="00DC53D1"/>
    <w:rsid w:val="00DC7607"/>
    <w:rsid w:val="00DC7F0E"/>
    <w:rsid w:val="00DD195E"/>
    <w:rsid w:val="00DD33B6"/>
    <w:rsid w:val="00DD49EF"/>
    <w:rsid w:val="00DD7556"/>
    <w:rsid w:val="00DE0C05"/>
    <w:rsid w:val="00DE467B"/>
    <w:rsid w:val="00DE79DC"/>
    <w:rsid w:val="00DF0345"/>
    <w:rsid w:val="00DF3E5D"/>
    <w:rsid w:val="00DF423F"/>
    <w:rsid w:val="00DF7D7D"/>
    <w:rsid w:val="00E020D7"/>
    <w:rsid w:val="00E025DF"/>
    <w:rsid w:val="00E03D4A"/>
    <w:rsid w:val="00E04EDE"/>
    <w:rsid w:val="00E05D08"/>
    <w:rsid w:val="00E078C8"/>
    <w:rsid w:val="00E138A2"/>
    <w:rsid w:val="00E15092"/>
    <w:rsid w:val="00E16EF7"/>
    <w:rsid w:val="00E17BC6"/>
    <w:rsid w:val="00E17C6E"/>
    <w:rsid w:val="00E216C2"/>
    <w:rsid w:val="00E21953"/>
    <w:rsid w:val="00E23318"/>
    <w:rsid w:val="00E2366E"/>
    <w:rsid w:val="00E259B2"/>
    <w:rsid w:val="00E25E8F"/>
    <w:rsid w:val="00E2743D"/>
    <w:rsid w:val="00E30B5F"/>
    <w:rsid w:val="00E35CDC"/>
    <w:rsid w:val="00E400A8"/>
    <w:rsid w:val="00E40F29"/>
    <w:rsid w:val="00E45E3B"/>
    <w:rsid w:val="00E4764B"/>
    <w:rsid w:val="00E47AD9"/>
    <w:rsid w:val="00E47E1F"/>
    <w:rsid w:val="00E53CA4"/>
    <w:rsid w:val="00E53CB8"/>
    <w:rsid w:val="00E54DCF"/>
    <w:rsid w:val="00E61097"/>
    <w:rsid w:val="00E62BCA"/>
    <w:rsid w:val="00E6310E"/>
    <w:rsid w:val="00E63E6B"/>
    <w:rsid w:val="00E64A78"/>
    <w:rsid w:val="00E65F5E"/>
    <w:rsid w:val="00E66603"/>
    <w:rsid w:val="00E669E6"/>
    <w:rsid w:val="00E67421"/>
    <w:rsid w:val="00E704D6"/>
    <w:rsid w:val="00E80550"/>
    <w:rsid w:val="00E81116"/>
    <w:rsid w:val="00E813CC"/>
    <w:rsid w:val="00E843A1"/>
    <w:rsid w:val="00E84EDE"/>
    <w:rsid w:val="00E854DE"/>
    <w:rsid w:val="00E865FA"/>
    <w:rsid w:val="00E8743D"/>
    <w:rsid w:val="00E9420C"/>
    <w:rsid w:val="00E94E86"/>
    <w:rsid w:val="00E9702F"/>
    <w:rsid w:val="00EA0689"/>
    <w:rsid w:val="00EA375C"/>
    <w:rsid w:val="00EA3A6F"/>
    <w:rsid w:val="00EB1E89"/>
    <w:rsid w:val="00EB2881"/>
    <w:rsid w:val="00EB5CE3"/>
    <w:rsid w:val="00EC0F16"/>
    <w:rsid w:val="00EC3685"/>
    <w:rsid w:val="00EC4645"/>
    <w:rsid w:val="00EC54F6"/>
    <w:rsid w:val="00EC74E3"/>
    <w:rsid w:val="00EC7805"/>
    <w:rsid w:val="00ED1D15"/>
    <w:rsid w:val="00ED327C"/>
    <w:rsid w:val="00ED493C"/>
    <w:rsid w:val="00ED5C12"/>
    <w:rsid w:val="00ED5C9A"/>
    <w:rsid w:val="00ED68CD"/>
    <w:rsid w:val="00EE0E88"/>
    <w:rsid w:val="00EE31F3"/>
    <w:rsid w:val="00EE3541"/>
    <w:rsid w:val="00EE4291"/>
    <w:rsid w:val="00EE4800"/>
    <w:rsid w:val="00EF0AEB"/>
    <w:rsid w:val="00EF30C8"/>
    <w:rsid w:val="00EF3220"/>
    <w:rsid w:val="00EF3C42"/>
    <w:rsid w:val="00EF5240"/>
    <w:rsid w:val="00EF5BB8"/>
    <w:rsid w:val="00EF5BE4"/>
    <w:rsid w:val="00EF6C7F"/>
    <w:rsid w:val="00EF70D5"/>
    <w:rsid w:val="00EF771A"/>
    <w:rsid w:val="00F01D72"/>
    <w:rsid w:val="00F02C8C"/>
    <w:rsid w:val="00F04BA9"/>
    <w:rsid w:val="00F04C38"/>
    <w:rsid w:val="00F05597"/>
    <w:rsid w:val="00F05B5E"/>
    <w:rsid w:val="00F07C36"/>
    <w:rsid w:val="00F07EE3"/>
    <w:rsid w:val="00F1047B"/>
    <w:rsid w:val="00F13E09"/>
    <w:rsid w:val="00F14ADB"/>
    <w:rsid w:val="00F14C81"/>
    <w:rsid w:val="00F15484"/>
    <w:rsid w:val="00F1604C"/>
    <w:rsid w:val="00F17556"/>
    <w:rsid w:val="00F17F73"/>
    <w:rsid w:val="00F243D1"/>
    <w:rsid w:val="00F24FA8"/>
    <w:rsid w:val="00F25663"/>
    <w:rsid w:val="00F2614A"/>
    <w:rsid w:val="00F27907"/>
    <w:rsid w:val="00F307EA"/>
    <w:rsid w:val="00F32900"/>
    <w:rsid w:val="00F32E9C"/>
    <w:rsid w:val="00F33E51"/>
    <w:rsid w:val="00F347FB"/>
    <w:rsid w:val="00F365D7"/>
    <w:rsid w:val="00F43DBA"/>
    <w:rsid w:val="00F45F9F"/>
    <w:rsid w:val="00F4797F"/>
    <w:rsid w:val="00F5281D"/>
    <w:rsid w:val="00F53CDC"/>
    <w:rsid w:val="00F53D9E"/>
    <w:rsid w:val="00F53E1C"/>
    <w:rsid w:val="00F54C9B"/>
    <w:rsid w:val="00F558F0"/>
    <w:rsid w:val="00F55DDD"/>
    <w:rsid w:val="00F56145"/>
    <w:rsid w:val="00F57635"/>
    <w:rsid w:val="00F61703"/>
    <w:rsid w:val="00F62378"/>
    <w:rsid w:val="00F63E4F"/>
    <w:rsid w:val="00F64185"/>
    <w:rsid w:val="00F64356"/>
    <w:rsid w:val="00F643FA"/>
    <w:rsid w:val="00F64FB1"/>
    <w:rsid w:val="00F67481"/>
    <w:rsid w:val="00F70937"/>
    <w:rsid w:val="00F71995"/>
    <w:rsid w:val="00F723CD"/>
    <w:rsid w:val="00F76DB7"/>
    <w:rsid w:val="00F77502"/>
    <w:rsid w:val="00F81985"/>
    <w:rsid w:val="00F81C44"/>
    <w:rsid w:val="00F82D9C"/>
    <w:rsid w:val="00F84894"/>
    <w:rsid w:val="00F864D2"/>
    <w:rsid w:val="00F865C3"/>
    <w:rsid w:val="00F9022B"/>
    <w:rsid w:val="00F9030A"/>
    <w:rsid w:val="00F9171F"/>
    <w:rsid w:val="00F92F88"/>
    <w:rsid w:val="00F94405"/>
    <w:rsid w:val="00F9584A"/>
    <w:rsid w:val="00F97FBC"/>
    <w:rsid w:val="00FA2147"/>
    <w:rsid w:val="00FA2218"/>
    <w:rsid w:val="00FA4B60"/>
    <w:rsid w:val="00FA56CD"/>
    <w:rsid w:val="00FA7283"/>
    <w:rsid w:val="00FB3F0F"/>
    <w:rsid w:val="00FB4AAB"/>
    <w:rsid w:val="00FB66BC"/>
    <w:rsid w:val="00FB6A28"/>
    <w:rsid w:val="00FB7909"/>
    <w:rsid w:val="00FC06C0"/>
    <w:rsid w:val="00FC2799"/>
    <w:rsid w:val="00FC3A79"/>
    <w:rsid w:val="00FC3F34"/>
    <w:rsid w:val="00FC42DB"/>
    <w:rsid w:val="00FC4647"/>
    <w:rsid w:val="00FD0D74"/>
    <w:rsid w:val="00FD17C5"/>
    <w:rsid w:val="00FD2A16"/>
    <w:rsid w:val="00FD2E3A"/>
    <w:rsid w:val="00FD3F5D"/>
    <w:rsid w:val="00FD6D48"/>
    <w:rsid w:val="00FD7A0F"/>
    <w:rsid w:val="00FE3C74"/>
    <w:rsid w:val="00FE5ECA"/>
    <w:rsid w:val="00FF17A0"/>
    <w:rsid w:val="00FF1E7B"/>
    <w:rsid w:val="00FF2526"/>
    <w:rsid w:val="00FF2DBB"/>
    <w:rsid w:val="00FF6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7E3E232-4F78-4AC7-8F5E-9BFB23FE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DE2"/>
    <w:rPr>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317261"/>
    <w:pPr>
      <w:tabs>
        <w:tab w:val="left" w:pos="360"/>
      </w:tabs>
      <w:ind w:left="360" w:hanging="360"/>
    </w:pPr>
    <w:rPr>
      <w:sz w:val="18"/>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317261"/>
    <w:rPr>
      <w:sz w:val="18"/>
      <w:szCs w:val="24"/>
      <w:lang w:val="en-GB"/>
    </w:rPr>
  </w:style>
  <w:style w:type="paragraph" w:styleId="Caption">
    <w:name w:val="caption"/>
    <w:basedOn w:val="Normal"/>
    <w:next w:val="Normal"/>
    <w:link w:val="CaptionChar"/>
    <w:qFormat/>
    <w:rsid w:val="00733BF9"/>
    <w:pPr>
      <w:spacing w:before="60" w:after="60"/>
      <w:jc w:val="center"/>
    </w:pPr>
    <w:rPr>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unhideWhenUsed/>
    <w:rsid w:val="003D4DD7"/>
    <w:rPr>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733BF9"/>
    <w:rPr>
      <w:rFonts w:ascii="Times" w:hAnsi="Times"/>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character" w:styleId="LineNumber">
    <w:name w:val="line number"/>
    <w:basedOn w:val="DefaultParagraphFont"/>
    <w:uiPriority w:val="99"/>
    <w:semiHidden/>
    <w:unhideWhenUsed/>
    <w:rsid w:val="00C66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05683362">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14772123">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82971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7226/25171"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64GLS\AppData\Roaming\Microsoft\Templates\TEMPLATE-JACoW_W10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8C4003F3-5868-475C-BCAE-F7CF76BDF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TEMPLATE-JACoW_W10_Letter</Template>
  <TotalTime>1</TotalTime>
  <Pages>4</Pages>
  <Words>2268</Words>
  <Characters>12932</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S64GLS</dc:creator>
  <cp:lastModifiedBy>Tim Michalski</cp:lastModifiedBy>
  <cp:revision>2</cp:revision>
  <cp:lastPrinted>2019-08-28T19:46:00Z</cp:lastPrinted>
  <dcterms:created xsi:type="dcterms:W3CDTF">2019-08-28T19:47:00Z</dcterms:created>
  <dcterms:modified xsi:type="dcterms:W3CDTF">2019-08-28T19:47:00Z</dcterms:modified>
</cp:coreProperties>
</file>