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C5" w:rsidRPr="00BA10C5" w:rsidRDefault="004427A5" w:rsidP="00BA10C5">
      <w:pPr>
        <w:jc w:val="center"/>
        <w:rPr>
          <w:b/>
          <w:sz w:val="28"/>
          <w:szCs w:val="28"/>
        </w:rPr>
      </w:pPr>
      <w:r>
        <w:rPr>
          <w:b/>
          <w:sz w:val="28"/>
          <w:szCs w:val="28"/>
        </w:rPr>
        <w:t xml:space="preserve">Small Project </w:t>
      </w:r>
      <w:r w:rsidR="009A6FE2">
        <w:rPr>
          <w:b/>
          <w:sz w:val="28"/>
          <w:szCs w:val="28"/>
        </w:rPr>
        <w:t>Quarterly Report</w:t>
      </w:r>
    </w:p>
    <w:p w:rsidR="00BA10C5" w:rsidRDefault="00BA10C5" w:rsidP="00BA10C5">
      <w:pPr>
        <w:jc w:val="center"/>
        <w:rPr>
          <w:sz w:val="24"/>
          <w:szCs w:val="24"/>
        </w:rPr>
      </w:pPr>
      <w:r w:rsidRPr="00BA10C5">
        <w:rPr>
          <w:sz w:val="24"/>
          <w:szCs w:val="24"/>
        </w:rPr>
        <w:t>DOE Office of Nuclear Physics</w:t>
      </w:r>
      <w:r w:rsidR="009C7FAD">
        <w:rPr>
          <w:sz w:val="24"/>
          <w:szCs w:val="24"/>
        </w:rPr>
        <w:t xml:space="preserve"> (NP)</w:t>
      </w:r>
    </w:p>
    <w:p w:rsidR="004427A5" w:rsidRPr="00BA10C5" w:rsidRDefault="004427A5" w:rsidP="00BA10C5">
      <w:pPr>
        <w:jc w:val="center"/>
        <w:rPr>
          <w:rFonts w:ascii="Calibri" w:hAnsi="Calibri"/>
          <w:sz w:val="28"/>
          <w:szCs w:val="28"/>
        </w:rPr>
      </w:pPr>
      <w:r>
        <w:rPr>
          <w:sz w:val="24"/>
          <w:szCs w:val="24"/>
        </w:rPr>
        <w:t>Facilities and Project Management Division</w:t>
      </w:r>
    </w:p>
    <w:p w:rsidR="00BA10C5" w:rsidRDefault="00BA10C5">
      <w:pPr>
        <w:rPr>
          <w:sz w:val="24"/>
          <w:szCs w:val="24"/>
          <w:u w:val="single"/>
        </w:rPr>
      </w:pPr>
    </w:p>
    <w:p w:rsidR="00BA10C5" w:rsidRDefault="00BA10C5">
      <w:pPr>
        <w:rPr>
          <w:sz w:val="24"/>
          <w:szCs w:val="24"/>
          <w:u w:val="single"/>
        </w:rPr>
      </w:pPr>
    </w:p>
    <w:p w:rsidR="00BA10C5" w:rsidRPr="00100716" w:rsidRDefault="00851F8D" w:rsidP="005F2B02">
      <w:pPr>
        <w:spacing w:after="120"/>
        <w:rPr>
          <w:b/>
          <w:i/>
          <w:sz w:val="24"/>
          <w:szCs w:val="24"/>
        </w:rPr>
      </w:pPr>
      <w:r w:rsidRPr="00100716">
        <w:rPr>
          <w:b/>
          <w:sz w:val="24"/>
          <w:szCs w:val="24"/>
          <w:u w:val="single"/>
        </w:rPr>
        <w:t>Proposal</w:t>
      </w:r>
      <w:r w:rsidR="00C829AC" w:rsidRPr="00100716">
        <w:rPr>
          <w:b/>
          <w:sz w:val="24"/>
          <w:szCs w:val="24"/>
          <w:u w:val="single"/>
        </w:rPr>
        <w:t xml:space="preserve"> Name:</w:t>
      </w:r>
      <w:r w:rsidR="00BA10C5" w:rsidRPr="00100716">
        <w:rPr>
          <w:b/>
          <w:i/>
          <w:sz w:val="24"/>
          <w:szCs w:val="24"/>
        </w:rPr>
        <w:t xml:space="preserve"> </w:t>
      </w:r>
    </w:p>
    <w:p w:rsidR="00100716" w:rsidRPr="00100716" w:rsidRDefault="00100716" w:rsidP="00100716">
      <w:pPr>
        <w:pStyle w:val="Default"/>
        <w:ind w:left="360"/>
        <w:jc w:val="both"/>
        <w:rPr>
          <w:bCs/>
        </w:rPr>
      </w:pPr>
      <w:r w:rsidRPr="0076354C">
        <w:rPr>
          <w:bCs/>
        </w:rPr>
        <w:t>Critical Accelerator R&amp;D for Achieving High Performance of a Polarized Medium Energy Electron Ion Collider</w:t>
      </w:r>
      <w:r>
        <w:rPr>
          <w:bCs/>
        </w:rPr>
        <w:t xml:space="preserve"> (</w:t>
      </w:r>
      <w:r w:rsidRPr="005C0DE9">
        <w:rPr>
          <w:b/>
          <w:bCs/>
          <w:i/>
        </w:rPr>
        <w:t>FY14</w:t>
      </w:r>
      <w:r>
        <w:rPr>
          <w:bCs/>
        </w:rPr>
        <w:t>)</w:t>
      </w:r>
    </w:p>
    <w:p w:rsidR="00100716" w:rsidRDefault="00100716">
      <w:pPr>
        <w:rPr>
          <w:sz w:val="24"/>
          <w:szCs w:val="24"/>
          <w:u w:val="single"/>
        </w:rPr>
      </w:pPr>
    </w:p>
    <w:p w:rsidR="00BA10C5" w:rsidRPr="00167A61" w:rsidRDefault="00BA10C5" w:rsidP="005F2B02">
      <w:pPr>
        <w:spacing w:after="120"/>
        <w:rPr>
          <w:b/>
          <w:sz w:val="24"/>
          <w:szCs w:val="24"/>
          <w:u w:val="single"/>
        </w:rPr>
      </w:pPr>
      <w:r w:rsidRPr="00167A61">
        <w:rPr>
          <w:b/>
          <w:sz w:val="24"/>
          <w:szCs w:val="24"/>
          <w:u w:val="single"/>
        </w:rPr>
        <w:t>Report Date:</w:t>
      </w:r>
    </w:p>
    <w:p w:rsidR="00100716" w:rsidRPr="0094414A" w:rsidRDefault="00A332C7" w:rsidP="00100716">
      <w:pPr>
        <w:pStyle w:val="Default"/>
        <w:ind w:left="360"/>
        <w:rPr>
          <w:bCs/>
        </w:rPr>
      </w:pPr>
      <w:r>
        <w:t>July 31</w:t>
      </w:r>
      <w:r w:rsidR="00E3281B">
        <w:t>, 2018</w:t>
      </w:r>
    </w:p>
    <w:p w:rsidR="00100716" w:rsidRDefault="00100716">
      <w:pPr>
        <w:rPr>
          <w:sz w:val="24"/>
          <w:szCs w:val="24"/>
          <w:u w:val="single"/>
        </w:rPr>
      </w:pPr>
    </w:p>
    <w:p w:rsidR="00C829AC" w:rsidRPr="00167A61" w:rsidRDefault="00F476FA" w:rsidP="005F2B02">
      <w:pPr>
        <w:spacing w:after="120"/>
        <w:rPr>
          <w:b/>
          <w:sz w:val="24"/>
          <w:szCs w:val="24"/>
          <w:u w:val="single"/>
        </w:rPr>
      </w:pPr>
      <w:r w:rsidRPr="00167A61">
        <w:rPr>
          <w:b/>
          <w:sz w:val="24"/>
          <w:szCs w:val="24"/>
          <w:u w:val="single"/>
        </w:rPr>
        <w:t>Principal Investigator</w:t>
      </w:r>
      <w:r w:rsidR="00C829AC" w:rsidRPr="00167A61">
        <w:rPr>
          <w:b/>
          <w:sz w:val="24"/>
          <w:szCs w:val="24"/>
          <w:u w:val="single"/>
        </w:rPr>
        <w:t>:</w:t>
      </w:r>
    </w:p>
    <w:p w:rsidR="00100716" w:rsidRPr="00100716" w:rsidRDefault="00100716" w:rsidP="00100716">
      <w:pPr>
        <w:ind w:left="360"/>
        <w:rPr>
          <w:sz w:val="24"/>
          <w:szCs w:val="24"/>
        </w:rPr>
      </w:pPr>
      <w:r w:rsidRPr="00100716">
        <w:rPr>
          <w:sz w:val="24"/>
          <w:szCs w:val="24"/>
        </w:rPr>
        <w:t>Yuhong Zhang</w:t>
      </w:r>
      <w:r>
        <w:rPr>
          <w:sz w:val="24"/>
          <w:szCs w:val="24"/>
        </w:rPr>
        <w:t xml:space="preserve"> (</w:t>
      </w:r>
      <w:r w:rsidRPr="00100716">
        <w:rPr>
          <w:b/>
          <w:bCs/>
          <w:i/>
          <w:sz w:val="24"/>
          <w:szCs w:val="24"/>
        </w:rPr>
        <w:t>FY14</w:t>
      </w:r>
      <w:r>
        <w:rPr>
          <w:sz w:val="24"/>
          <w:szCs w:val="24"/>
        </w:rPr>
        <w:t>)</w:t>
      </w:r>
    </w:p>
    <w:p w:rsidR="00100716" w:rsidRPr="006C7E5C" w:rsidRDefault="00100716">
      <w:pPr>
        <w:rPr>
          <w:sz w:val="24"/>
          <w:szCs w:val="24"/>
        </w:rPr>
      </w:pPr>
    </w:p>
    <w:p w:rsidR="00C829AC" w:rsidRPr="00167A61" w:rsidRDefault="00851F8D" w:rsidP="005F2B02">
      <w:pPr>
        <w:spacing w:after="120"/>
        <w:rPr>
          <w:b/>
          <w:sz w:val="24"/>
          <w:szCs w:val="24"/>
          <w:u w:val="single"/>
        </w:rPr>
      </w:pPr>
      <w:r>
        <w:rPr>
          <w:b/>
          <w:sz w:val="24"/>
          <w:szCs w:val="24"/>
          <w:u w:val="single"/>
        </w:rPr>
        <w:t>Work-scope H</w:t>
      </w:r>
      <w:r w:rsidR="00C829AC" w:rsidRPr="00167A61">
        <w:rPr>
          <w:b/>
          <w:sz w:val="24"/>
          <w:szCs w:val="24"/>
          <w:u w:val="single"/>
        </w:rPr>
        <w:t>ighlights:</w:t>
      </w:r>
    </w:p>
    <w:p w:rsidR="00E3281B" w:rsidRDefault="005F2B02" w:rsidP="00E3281B">
      <w:pPr>
        <w:ind w:firstLine="360"/>
        <w:jc w:val="both"/>
        <w:rPr>
          <w:color w:val="000000" w:themeColor="text1"/>
          <w:sz w:val="24"/>
          <w:szCs w:val="24"/>
        </w:rPr>
      </w:pPr>
      <w:r>
        <w:rPr>
          <w:color w:val="000000" w:themeColor="text1"/>
          <w:sz w:val="24"/>
          <w:szCs w:val="24"/>
        </w:rPr>
        <w:t xml:space="preserve">In this quarterly report, we summarize the R&amp;D work </w:t>
      </w:r>
      <w:r w:rsidR="00E3281B">
        <w:rPr>
          <w:color w:val="000000" w:themeColor="text1"/>
          <w:sz w:val="24"/>
          <w:szCs w:val="24"/>
        </w:rPr>
        <w:t>completed</w:t>
      </w:r>
      <w:r>
        <w:rPr>
          <w:color w:val="000000" w:themeColor="text1"/>
          <w:sz w:val="24"/>
          <w:szCs w:val="24"/>
        </w:rPr>
        <w:t xml:space="preserve"> during the </w:t>
      </w:r>
      <w:r w:rsidR="00A332C7">
        <w:rPr>
          <w:color w:val="000000" w:themeColor="text1"/>
          <w:sz w:val="24"/>
          <w:szCs w:val="24"/>
        </w:rPr>
        <w:t>third</w:t>
      </w:r>
      <w:r>
        <w:rPr>
          <w:color w:val="000000" w:themeColor="text1"/>
          <w:sz w:val="24"/>
          <w:szCs w:val="24"/>
        </w:rPr>
        <w:t xml:space="preserve"> quarter of FY1</w:t>
      </w:r>
      <w:r w:rsidR="00E3281B">
        <w:rPr>
          <w:color w:val="000000" w:themeColor="text1"/>
          <w:sz w:val="24"/>
          <w:szCs w:val="24"/>
        </w:rPr>
        <w:t>8 at Jefferson Lab with funds carried over from FY14</w:t>
      </w:r>
      <w:r>
        <w:rPr>
          <w:color w:val="000000" w:themeColor="text1"/>
          <w:sz w:val="24"/>
          <w:szCs w:val="24"/>
        </w:rPr>
        <w:t xml:space="preserve">. </w:t>
      </w:r>
      <w:r w:rsidR="00E3281B">
        <w:rPr>
          <w:color w:val="000000" w:themeColor="text1"/>
          <w:sz w:val="24"/>
          <w:szCs w:val="24"/>
        </w:rPr>
        <w:t xml:space="preserve">The remaining FY14 funding is used to support A.M. Kondratenko of Novosibirsk, Russia and his colleagues for polarization design of </w:t>
      </w:r>
      <w:r>
        <w:rPr>
          <w:color w:val="000000" w:themeColor="text1"/>
          <w:sz w:val="24"/>
          <w:szCs w:val="24"/>
        </w:rPr>
        <w:t>JLEIC (</w:t>
      </w:r>
      <w:r w:rsidR="00E3281B">
        <w:rPr>
          <w:color w:val="000000" w:themeColor="text1"/>
          <w:sz w:val="24"/>
          <w:szCs w:val="24"/>
        </w:rPr>
        <w:t>formerly</w:t>
      </w:r>
      <w:r>
        <w:rPr>
          <w:color w:val="000000" w:themeColor="text1"/>
          <w:sz w:val="24"/>
          <w:szCs w:val="24"/>
        </w:rPr>
        <w:t xml:space="preserve"> MEIC). </w:t>
      </w:r>
      <w:r w:rsidR="00E3281B">
        <w:rPr>
          <w:color w:val="000000" w:themeColor="text1"/>
          <w:sz w:val="24"/>
          <w:szCs w:val="24"/>
        </w:rPr>
        <w:t xml:space="preserve">In the past quarter, this team </w:t>
      </w:r>
      <w:r w:rsidR="00A332C7">
        <w:rPr>
          <w:color w:val="000000" w:themeColor="text1"/>
          <w:sz w:val="24"/>
          <w:szCs w:val="24"/>
        </w:rPr>
        <w:t>studied electron s</w:t>
      </w:r>
      <w:r w:rsidR="00A332C7" w:rsidRPr="00A332C7">
        <w:rPr>
          <w:color w:val="000000" w:themeColor="text1"/>
          <w:sz w:val="24"/>
          <w:szCs w:val="24"/>
        </w:rPr>
        <w:t xml:space="preserve">pin </w:t>
      </w:r>
      <w:r w:rsidR="00A332C7">
        <w:rPr>
          <w:color w:val="000000" w:themeColor="text1"/>
          <w:sz w:val="24"/>
          <w:szCs w:val="24"/>
        </w:rPr>
        <w:t>m</w:t>
      </w:r>
      <w:r w:rsidR="00A332C7" w:rsidRPr="00A332C7">
        <w:rPr>
          <w:color w:val="000000" w:themeColor="text1"/>
          <w:sz w:val="24"/>
          <w:szCs w:val="24"/>
        </w:rPr>
        <w:t xml:space="preserve">atching </w:t>
      </w:r>
      <w:r w:rsidR="00A332C7">
        <w:rPr>
          <w:color w:val="000000" w:themeColor="text1"/>
          <w:sz w:val="24"/>
          <w:szCs w:val="24"/>
        </w:rPr>
        <w:t>requirements to</w:t>
      </w:r>
      <w:r w:rsidR="00A332C7" w:rsidRPr="00A332C7">
        <w:rPr>
          <w:color w:val="000000" w:themeColor="text1"/>
          <w:sz w:val="24"/>
          <w:szCs w:val="24"/>
        </w:rPr>
        <w:t xml:space="preserve"> increas</w:t>
      </w:r>
      <w:r w:rsidR="00A332C7">
        <w:rPr>
          <w:color w:val="000000" w:themeColor="text1"/>
          <w:sz w:val="24"/>
          <w:szCs w:val="24"/>
        </w:rPr>
        <w:t>e</w:t>
      </w:r>
      <w:r w:rsidR="00A332C7" w:rsidRPr="00A332C7">
        <w:rPr>
          <w:color w:val="000000" w:themeColor="text1"/>
          <w:sz w:val="24"/>
          <w:szCs w:val="24"/>
        </w:rPr>
        <w:t xml:space="preserve"> </w:t>
      </w:r>
      <w:r w:rsidR="00A332C7">
        <w:rPr>
          <w:color w:val="000000" w:themeColor="text1"/>
          <w:sz w:val="24"/>
          <w:szCs w:val="24"/>
        </w:rPr>
        <w:t xml:space="preserve">the </w:t>
      </w:r>
      <w:r w:rsidR="00A332C7" w:rsidRPr="00A332C7">
        <w:rPr>
          <w:color w:val="000000" w:themeColor="text1"/>
          <w:sz w:val="24"/>
          <w:szCs w:val="24"/>
        </w:rPr>
        <w:t>electron polarization lifetime</w:t>
      </w:r>
      <w:r w:rsidR="0052694E">
        <w:rPr>
          <w:color w:val="000000" w:themeColor="text1"/>
          <w:sz w:val="24"/>
          <w:szCs w:val="24"/>
        </w:rPr>
        <w:t xml:space="preserve"> in JLEIC</w:t>
      </w:r>
      <w:r w:rsidR="00E3281B">
        <w:rPr>
          <w:color w:val="000000" w:themeColor="text1"/>
          <w:sz w:val="24"/>
          <w:szCs w:val="24"/>
        </w:rPr>
        <w:t>.</w:t>
      </w:r>
    </w:p>
    <w:p w:rsidR="00C829AC" w:rsidRDefault="00C829AC" w:rsidP="005258C4">
      <w:pPr>
        <w:rPr>
          <w:sz w:val="24"/>
          <w:szCs w:val="24"/>
        </w:rPr>
      </w:pPr>
    </w:p>
    <w:p w:rsidR="005258C4" w:rsidRPr="009F047A" w:rsidRDefault="005258C4" w:rsidP="00323899">
      <w:pPr>
        <w:spacing w:after="120"/>
        <w:rPr>
          <w:b/>
          <w:sz w:val="24"/>
          <w:szCs w:val="24"/>
          <w:u w:val="single"/>
        </w:rPr>
      </w:pPr>
      <w:r w:rsidRPr="009F047A">
        <w:rPr>
          <w:b/>
          <w:sz w:val="24"/>
          <w:szCs w:val="24"/>
          <w:u w:val="single"/>
        </w:rPr>
        <w:t xml:space="preserve">Brief summary of </w:t>
      </w:r>
      <w:r w:rsidR="00442FF0" w:rsidRPr="009F047A">
        <w:rPr>
          <w:b/>
          <w:sz w:val="24"/>
          <w:szCs w:val="24"/>
          <w:u w:val="single"/>
        </w:rPr>
        <w:t>activity</w:t>
      </w:r>
      <w:r w:rsidRPr="009F047A">
        <w:rPr>
          <w:b/>
          <w:sz w:val="24"/>
          <w:szCs w:val="24"/>
          <w:u w:val="single"/>
        </w:rPr>
        <w:t xml:space="preserve"> issues, concerns, successes:</w:t>
      </w:r>
    </w:p>
    <w:p w:rsidR="00323899" w:rsidRDefault="007D75AE" w:rsidP="00323899">
      <w:pPr>
        <w:ind w:firstLine="360"/>
        <w:jc w:val="both"/>
        <w:rPr>
          <w:sz w:val="24"/>
          <w:szCs w:val="24"/>
        </w:rPr>
      </w:pPr>
      <w:r>
        <w:rPr>
          <w:sz w:val="24"/>
          <w:szCs w:val="24"/>
        </w:rPr>
        <w:t>Work continues on schedule and on budget.</w:t>
      </w:r>
    </w:p>
    <w:p w:rsidR="00685C40" w:rsidRDefault="00685C40" w:rsidP="00685C40">
      <w:pPr>
        <w:rPr>
          <w:sz w:val="24"/>
          <w:szCs w:val="24"/>
        </w:rPr>
      </w:pPr>
    </w:p>
    <w:p w:rsidR="003A4840" w:rsidRDefault="003A4840" w:rsidP="00F322B5">
      <w:pPr>
        <w:spacing w:after="120"/>
        <w:rPr>
          <w:b/>
          <w:sz w:val="24"/>
          <w:szCs w:val="24"/>
        </w:rPr>
      </w:pPr>
      <w:r w:rsidRPr="00D06596">
        <w:rPr>
          <w:b/>
          <w:sz w:val="24"/>
          <w:szCs w:val="24"/>
          <w:u w:val="single"/>
        </w:rPr>
        <w:t>Task 3</w:t>
      </w:r>
      <w:r w:rsidR="007D75AE">
        <w:rPr>
          <w:b/>
          <w:sz w:val="24"/>
          <w:szCs w:val="24"/>
          <w:u w:val="single"/>
        </w:rPr>
        <w:t xml:space="preserve"> (FY14</w:t>
      </w:r>
      <w:r>
        <w:rPr>
          <w:b/>
          <w:sz w:val="24"/>
          <w:szCs w:val="24"/>
          <w:u w:val="single"/>
        </w:rPr>
        <w:t>)</w:t>
      </w:r>
      <w:r w:rsidRPr="00D06596">
        <w:rPr>
          <w:b/>
          <w:sz w:val="24"/>
          <w:szCs w:val="24"/>
          <w:u w:val="single"/>
        </w:rPr>
        <w:t>: Beam Polarization</w:t>
      </w:r>
    </w:p>
    <w:p w:rsidR="003A4840" w:rsidRPr="00442FF0" w:rsidRDefault="003A4840" w:rsidP="003A4840">
      <w:pPr>
        <w:rPr>
          <w:b/>
          <w:sz w:val="24"/>
          <w:szCs w:val="24"/>
          <w:u w:val="single"/>
        </w:rPr>
      </w:pPr>
      <w:r w:rsidRPr="00442FF0">
        <w:rPr>
          <w:b/>
          <w:sz w:val="24"/>
          <w:szCs w:val="24"/>
          <w:u w:val="single"/>
        </w:rPr>
        <w:t>Milestones</w:t>
      </w:r>
    </w:p>
    <w:p w:rsidR="003A4840" w:rsidRPr="00CE7BC4" w:rsidRDefault="003A4840" w:rsidP="003A4840">
      <w:pPr>
        <w:numPr>
          <w:ilvl w:val="0"/>
          <w:numId w:val="11"/>
        </w:numPr>
        <w:rPr>
          <w:i/>
          <w:sz w:val="24"/>
          <w:szCs w:val="24"/>
        </w:rPr>
      </w:pPr>
      <w:r w:rsidRPr="00CE7BC4">
        <w:rPr>
          <w:i/>
          <w:sz w:val="24"/>
          <w:szCs w:val="24"/>
        </w:rPr>
        <w:t>Milestone description</w:t>
      </w:r>
    </w:p>
    <w:p w:rsidR="003A4840" w:rsidRDefault="00703940" w:rsidP="00437E13">
      <w:pPr>
        <w:ind w:left="720"/>
        <w:jc w:val="both"/>
        <w:rPr>
          <w:sz w:val="24"/>
          <w:szCs w:val="24"/>
          <w:lang w:val="en-GB"/>
        </w:rPr>
      </w:pPr>
      <w:r>
        <w:rPr>
          <w:sz w:val="24"/>
          <w:szCs w:val="24"/>
        </w:rPr>
        <w:t xml:space="preserve">Continue </w:t>
      </w:r>
      <w:r w:rsidRPr="0066584B">
        <w:rPr>
          <w:sz w:val="24"/>
          <w:szCs w:val="24"/>
        </w:rPr>
        <w:t xml:space="preserve">Spin Matching design for increasing </w:t>
      </w:r>
      <w:r w:rsidRPr="005C434A">
        <w:rPr>
          <w:i/>
          <w:sz w:val="24"/>
          <w:szCs w:val="24"/>
        </w:rPr>
        <w:t>electron polarization</w:t>
      </w:r>
      <w:r w:rsidRPr="0066584B">
        <w:rPr>
          <w:sz w:val="24"/>
          <w:szCs w:val="24"/>
        </w:rPr>
        <w:t xml:space="preserve"> lifetime</w:t>
      </w:r>
    </w:p>
    <w:p w:rsidR="003A4840" w:rsidRPr="00CE7BC4" w:rsidRDefault="003A4840" w:rsidP="003A4840">
      <w:pPr>
        <w:numPr>
          <w:ilvl w:val="0"/>
          <w:numId w:val="11"/>
        </w:numPr>
        <w:rPr>
          <w:i/>
          <w:sz w:val="24"/>
          <w:szCs w:val="24"/>
        </w:rPr>
      </w:pPr>
      <w:r w:rsidRPr="00CE7BC4">
        <w:rPr>
          <w:i/>
          <w:sz w:val="24"/>
          <w:szCs w:val="24"/>
        </w:rPr>
        <w:t>Milestone forecast versus actual date</w:t>
      </w:r>
    </w:p>
    <w:p w:rsidR="003A4840" w:rsidRPr="00CE7BC4" w:rsidRDefault="003A4840" w:rsidP="003A4840">
      <w:pPr>
        <w:ind w:left="720"/>
        <w:rPr>
          <w:sz w:val="24"/>
          <w:szCs w:val="24"/>
        </w:rPr>
      </w:pPr>
      <w:r>
        <w:rPr>
          <w:sz w:val="24"/>
          <w:szCs w:val="24"/>
        </w:rPr>
        <w:t>Th</w:t>
      </w:r>
      <w:r w:rsidR="00437E13">
        <w:rPr>
          <w:sz w:val="24"/>
          <w:szCs w:val="24"/>
        </w:rPr>
        <w:t>is</w:t>
      </w:r>
      <w:r>
        <w:rPr>
          <w:sz w:val="24"/>
          <w:szCs w:val="24"/>
        </w:rPr>
        <w:t xml:space="preserve"> task</w:t>
      </w:r>
      <w:r w:rsidR="00437E13">
        <w:rPr>
          <w:sz w:val="24"/>
          <w:szCs w:val="24"/>
        </w:rPr>
        <w:t xml:space="preserve"> is</w:t>
      </w:r>
      <w:r>
        <w:rPr>
          <w:sz w:val="24"/>
          <w:szCs w:val="24"/>
        </w:rPr>
        <w:t xml:space="preserve"> completed on schedule and on budget.</w:t>
      </w:r>
    </w:p>
    <w:p w:rsidR="003A4840" w:rsidRPr="00CE7BC4" w:rsidRDefault="003A4840" w:rsidP="003A4840">
      <w:pPr>
        <w:numPr>
          <w:ilvl w:val="0"/>
          <w:numId w:val="11"/>
        </w:numPr>
        <w:rPr>
          <w:i/>
          <w:sz w:val="24"/>
          <w:szCs w:val="24"/>
        </w:rPr>
      </w:pPr>
      <w:r w:rsidRPr="00CE7BC4">
        <w:rPr>
          <w:i/>
          <w:sz w:val="24"/>
          <w:szCs w:val="24"/>
        </w:rPr>
        <w:t>Milestone result</w:t>
      </w:r>
    </w:p>
    <w:p w:rsidR="00437E13" w:rsidRDefault="00703940" w:rsidP="00A81841">
      <w:pPr>
        <w:ind w:firstLine="360"/>
        <w:jc w:val="both"/>
        <w:rPr>
          <w:rFonts w:eastAsiaTheme="minorEastAsia"/>
          <w:sz w:val="24"/>
          <w:szCs w:val="24"/>
        </w:rPr>
      </w:pPr>
      <w:r w:rsidRPr="00703940">
        <w:rPr>
          <w:rFonts w:eastAsiaTheme="minorEastAsia"/>
          <w:sz w:val="24"/>
          <w:szCs w:val="24"/>
        </w:rPr>
        <w:t>To free up space in the experimental straight, the doglegs for stacking of the electron and ion collider arcs were moved from the ion ring to the electron ring and combined with the universal spin rotator (USR). The USR rotates the spin from vertical in the arcs to longitudinal at the interaction point and returns it to vertical at the exit from the experimental straight. The electron polarization life time depends significantly on the particular design of the USR.</w:t>
      </w:r>
    </w:p>
    <w:p w:rsidR="00703940" w:rsidRDefault="00101D7D" w:rsidP="00A81841">
      <w:pPr>
        <w:ind w:firstLine="360"/>
        <w:jc w:val="both"/>
        <w:rPr>
          <w:iCs/>
          <w:sz w:val="24"/>
          <w:szCs w:val="24"/>
        </w:rPr>
      </w:pPr>
      <w:r>
        <w:rPr>
          <w:sz w:val="24"/>
          <w:szCs w:val="24"/>
        </w:rPr>
        <w:t xml:space="preserve">This report presents general requirements, which must be met by the USR design to minimize its contribution to the decrement of the radiative polarization. The depolarizing effect of radiation is determined by a vector function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d</m:t>
            </m:r>
          </m:e>
        </m:acc>
        <m:r>
          <m:rPr>
            <m:sty m:val="p"/>
          </m:rPr>
          <w:rPr>
            <w:rFonts w:ascii="Cambria Math" w:eastAsiaTheme="minorEastAsia" w:hAnsi="Cambria Math"/>
            <w:sz w:val="24"/>
            <w:szCs w:val="24"/>
          </w:rPr>
          <m:t>=</m:t>
        </m:r>
        <m:r>
          <w:rPr>
            <w:rFonts w:ascii="Cambria Math" w:eastAsiaTheme="minorEastAsia" w:hAnsi="Cambria Math"/>
            <w:sz w:val="24"/>
            <w:szCs w:val="24"/>
          </w:rPr>
          <m:t>γ</m:t>
        </m:r>
        <m:f>
          <m:fPr>
            <m:type m:val="lin"/>
            <m:ctrlPr>
              <w:rPr>
                <w:rFonts w:ascii="Cambria Math" w:eastAsiaTheme="minorEastAsia" w:hAnsi="Cambria Math"/>
                <w:sz w:val="24"/>
                <w:szCs w:val="24"/>
              </w:rPr>
            </m:ctrlPr>
          </m:fPr>
          <m:num>
            <m:r>
              <w:rPr>
                <w:rFonts w:ascii="Cambria Math" w:eastAsiaTheme="minorEastAsia" w:hAnsi="Cambria Math"/>
                <w:sz w:val="24"/>
                <w:szCs w:val="24"/>
              </w:rPr>
              <m:t>∂</m:t>
            </m:r>
            <m:acc>
              <m:accPr>
                <m:chr m:val="⃗"/>
                <m:ctrlPr>
                  <w:rPr>
                    <w:rFonts w:ascii="Cambria Math" w:eastAsiaTheme="minorEastAsia" w:hAnsi="Cambria Math"/>
                    <w:sz w:val="24"/>
                    <w:szCs w:val="24"/>
                  </w:rPr>
                </m:ctrlPr>
              </m:accPr>
              <m:e>
                <m:r>
                  <w:rPr>
                    <w:rFonts w:ascii="Cambria Math" w:eastAsiaTheme="minorEastAsia" w:hAnsi="Cambria Math"/>
                    <w:sz w:val="24"/>
                    <w:szCs w:val="24"/>
                  </w:rPr>
                  <m:t>n</m:t>
                </m:r>
              </m:e>
            </m:acc>
          </m:num>
          <m:den>
            <m:r>
              <w:rPr>
                <w:rFonts w:ascii="Cambria Math" w:eastAsiaTheme="minorEastAsia" w:hAnsi="Cambria Math"/>
                <w:sz w:val="24"/>
                <w:szCs w:val="24"/>
              </w:rPr>
              <m:t>∂γ</m:t>
            </m:r>
          </m:den>
        </m:f>
      </m:oMath>
      <w:r>
        <w:rPr>
          <w:rFonts w:eastAsiaTheme="minorEastAsia"/>
          <w:sz w:val="24"/>
          <w:szCs w:val="24"/>
        </w:rPr>
        <w:t xml:space="preserve"> describing </w:t>
      </w:r>
      <w:r>
        <w:rPr>
          <w:sz w:val="24"/>
          <w:szCs w:val="24"/>
        </w:rPr>
        <w:t>spin-orbit coupling</w:t>
      </w:r>
      <w:r w:rsidRPr="002A11F9">
        <w:rPr>
          <w:rFonts w:eastAsiaTheme="minorEastAsia"/>
          <w:sz w:val="24"/>
          <w:szCs w:val="24"/>
        </w:rPr>
        <w:t xml:space="preserve">. </w:t>
      </w:r>
      <w:r>
        <w:rPr>
          <w:rFonts w:eastAsiaTheme="minorEastAsia"/>
          <w:sz w:val="24"/>
          <w:szCs w:val="24"/>
        </w:rPr>
        <w:t>Vector</w:t>
      </w:r>
      <w:r w:rsidRPr="002A11F9">
        <w:rPr>
          <w:rFonts w:eastAsiaTheme="minorEastAsia"/>
          <w:sz w:val="24"/>
          <w:szCs w:val="24"/>
        </w:rPr>
        <w:t xml:space="preserve">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d</m:t>
            </m:r>
          </m:e>
        </m:acc>
      </m:oMath>
      <w:r w:rsidRPr="002A11F9">
        <w:rPr>
          <w:rFonts w:eastAsiaTheme="minorEastAsia"/>
          <w:sz w:val="24"/>
          <w:szCs w:val="24"/>
        </w:rPr>
        <w:t xml:space="preserve"> </w:t>
      </w:r>
      <w:r>
        <w:rPr>
          <w:rFonts w:eastAsiaTheme="minorEastAsia"/>
          <w:sz w:val="24"/>
          <w:szCs w:val="24"/>
        </w:rPr>
        <w:t xml:space="preserve">is always perpendicular to </w:t>
      </w:r>
      <m:oMath>
        <m:acc>
          <m:accPr>
            <m:chr m:val="⃗"/>
            <m:ctrlPr>
              <w:rPr>
                <w:rFonts w:ascii="Cambria Math" w:eastAsiaTheme="minorEastAsia" w:hAnsi="Cambria Math"/>
                <w:sz w:val="24"/>
                <w:szCs w:val="24"/>
              </w:rPr>
            </m:ctrlPr>
          </m:accPr>
          <m:e>
            <m:r>
              <w:rPr>
                <w:rFonts w:ascii="Cambria Math" w:eastAsiaTheme="minorEastAsia" w:hAnsi="Cambria Math"/>
                <w:sz w:val="24"/>
                <w:szCs w:val="24"/>
              </w:rPr>
              <m:t>n</m:t>
            </m:r>
          </m:e>
        </m:acc>
      </m:oMath>
      <w:r w:rsidRPr="002A11F9">
        <w:rPr>
          <w:rFonts w:eastAsiaTheme="minorEastAsia"/>
          <w:sz w:val="24"/>
          <w:szCs w:val="24"/>
        </w:rPr>
        <w:t xml:space="preserve">. </w:t>
      </w:r>
      <w:r>
        <w:rPr>
          <w:rFonts w:eastAsiaTheme="minorEastAsia"/>
          <w:sz w:val="24"/>
          <w:szCs w:val="24"/>
        </w:rPr>
        <w:t xml:space="preserve">At high energies, when </w:t>
      </w:r>
      <m:oMath>
        <m:r>
          <w:rPr>
            <w:rFonts w:ascii="Cambria Math" w:eastAsiaTheme="minorEastAsia" w:hAnsi="Cambria Math"/>
            <w:sz w:val="24"/>
            <w:szCs w:val="24"/>
          </w:rPr>
          <m:t>γG</m:t>
        </m:r>
        <m:r>
          <m:rPr>
            <m:sty m:val="p"/>
          </m:rPr>
          <w:rPr>
            <w:rFonts w:ascii="Cambria Math" w:eastAsiaTheme="minorEastAsia" w:hAnsi="Cambria Math"/>
            <w:sz w:val="24"/>
            <w:szCs w:val="24"/>
          </w:rPr>
          <m:t>≫1</m:t>
        </m:r>
      </m:oMath>
      <w:r w:rsidRPr="002A11F9">
        <w:rPr>
          <w:rFonts w:eastAsiaTheme="minorEastAsia"/>
          <w:sz w:val="24"/>
          <w:szCs w:val="24"/>
        </w:rPr>
        <w:t xml:space="preserve">, </w:t>
      </w:r>
      <w:r>
        <w:rPr>
          <w:rFonts w:eastAsiaTheme="minorEastAsia"/>
          <w:sz w:val="24"/>
          <w:szCs w:val="24"/>
        </w:rPr>
        <w:t xml:space="preserve">the main depolarizing factor is the diffusion of the spin rotation angle about the arc fields. When </w:t>
      </w:r>
      <w:r>
        <w:rPr>
          <w:rFonts w:eastAsiaTheme="minorEastAsia"/>
          <w:sz w:val="24"/>
          <w:szCs w:val="24"/>
        </w:rPr>
        <w:lastRenderedPageBreak/>
        <w:t>polarization is vertical in the arcs, the diffusion of the spin rotation angle gives no contribution to the polarization decrement. However, lattice errors give rise to a transverse polarization component in the arcs, which must be sufficiently small:</w:t>
      </w:r>
    </w:p>
    <w:p w:rsidR="00703940" w:rsidRDefault="00101D7D" w:rsidP="00101D7D">
      <w:pPr>
        <w:spacing w:before="120" w:after="120"/>
        <w:jc w:val="both"/>
        <w:rPr>
          <w:iCs/>
          <w:sz w:val="24"/>
          <w:szCs w:val="24"/>
        </w:rPr>
      </w:pPr>
      <m:oMathPara>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Δ</m:t>
              </m:r>
              <m:sSub>
                <m:sSubPr>
                  <m:ctrlPr>
                    <w:rPr>
                      <w:rFonts w:ascii="Cambria Math" w:eastAsiaTheme="minorEastAsia" w:hAnsi="Cambria Math"/>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e>
                <m:sub>
                  <m:r>
                    <m:rPr>
                      <m:sty m:val="p"/>
                    </m:rPr>
                    <w:rPr>
                      <w:rFonts w:ascii="Cambria Math" w:eastAsiaTheme="minorEastAsia" w:hAnsi="Cambria Math"/>
                      <w:sz w:val="24"/>
                      <w:szCs w:val="24"/>
                    </w:rPr>
                    <m:t>⊥</m:t>
                  </m:r>
                </m:sub>
              </m:sSub>
            </m:e>
          </m:d>
          <m:r>
            <m:rPr>
              <m:sty m:val="p"/>
            </m:rPr>
            <w:rPr>
              <w:rFonts w:ascii="Cambria Math" w:eastAsiaTheme="minorEastAsia" w:hAnsi="Cambria Math"/>
              <w:sz w:val="24"/>
              <w:szCs w:val="24"/>
            </w:rPr>
            <m:t>≪</m:t>
          </m:r>
          <m:rad>
            <m:radPr>
              <m:degHide m:val="1"/>
              <m:ctrlPr>
                <w:rPr>
                  <w:rFonts w:ascii="Cambria Math" w:eastAsiaTheme="minorEastAsia" w:hAnsi="Cambria Math"/>
                  <w:sz w:val="24"/>
                  <w:szCs w:val="24"/>
                </w:rPr>
              </m:ctrlPr>
            </m:radPr>
            <m:deg/>
            <m:e>
              <m:f>
                <m:fPr>
                  <m:ctrlPr>
                    <w:rPr>
                      <w:rFonts w:ascii="Cambria Math" w:eastAsiaTheme="minorEastAsia" w:hAnsi="Cambria Math"/>
                      <w:sz w:val="24"/>
                      <w:szCs w:val="24"/>
                    </w:rPr>
                  </m:ctrlPr>
                </m:fPr>
                <m:num>
                  <m:r>
                    <m:rPr>
                      <m:sty m:val="p"/>
                    </m:rPr>
                    <w:rPr>
                      <w:rFonts w:ascii="Cambria Math" w:eastAsiaTheme="minorEastAsia" w:hAnsi="Cambria Math"/>
                      <w:sz w:val="24"/>
                      <w:szCs w:val="24"/>
                    </w:rPr>
                    <m:t>54</m:t>
                  </m:r>
                </m:num>
                <m:den>
                  <m:r>
                    <m:rPr>
                      <m:sty m:val="p"/>
                    </m:rPr>
                    <w:rPr>
                      <w:rFonts w:ascii="Cambria Math" w:eastAsiaTheme="minorEastAsia" w:hAnsi="Cambria Math"/>
                      <w:sz w:val="24"/>
                      <w:szCs w:val="24"/>
                    </w:rPr>
                    <m:t>11</m:t>
                  </m:r>
                </m:den>
              </m:f>
            </m:e>
          </m:rad>
          <m:f>
            <m:fPr>
              <m:ctrlPr>
                <w:rPr>
                  <w:rFonts w:ascii="Cambria Math" w:eastAsiaTheme="minorEastAsia" w:hAnsi="Cambria Math"/>
                  <w:sz w:val="24"/>
                  <w:szCs w:val="24"/>
                </w:rPr>
              </m:ctrlPr>
            </m:fPr>
            <m:num>
              <m:r>
                <m:rPr>
                  <m:sty m:val="p"/>
                </m:rPr>
                <w:rPr>
                  <w:rFonts w:ascii="Cambria Math" w:eastAsiaTheme="minorEastAsia" w:hAnsi="Cambria Math"/>
                  <w:sz w:val="24"/>
                  <w:szCs w:val="24"/>
                </w:rPr>
                <m:t>1</m:t>
              </m:r>
            </m:num>
            <m:den>
              <m:r>
                <w:rPr>
                  <w:rFonts w:ascii="Cambria Math" w:eastAsiaTheme="minorEastAsia" w:hAnsi="Cambria Math"/>
                  <w:sz w:val="24"/>
                  <w:szCs w:val="24"/>
                </w:rPr>
                <m:t>γG</m:t>
              </m:r>
              <m:sSub>
                <m:sSubPr>
                  <m:ctrlPr>
                    <w:rPr>
                      <w:rFonts w:ascii="Cambria Math" w:eastAsiaTheme="minorEastAsia" w:hAnsi="Cambria Math"/>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arc</m:t>
                  </m:r>
                </m:sub>
              </m:sSub>
            </m:den>
          </m:f>
        </m:oMath>
      </m:oMathPara>
    </w:p>
    <w:p w:rsidR="00703940" w:rsidRDefault="00101D7D" w:rsidP="00101D7D">
      <w:pPr>
        <w:jc w:val="both"/>
        <w:rPr>
          <w:iCs/>
          <w:sz w:val="24"/>
          <w:szCs w:val="24"/>
        </w:rPr>
      </w:pPr>
      <w:r>
        <w:rPr>
          <w:rFonts w:eastAsiaTheme="minorEastAsia"/>
          <w:sz w:val="24"/>
          <w:szCs w:val="24"/>
        </w:rPr>
        <w:t xml:space="preserve">where </w:t>
      </w:r>
      <m:oMath>
        <m:sSub>
          <m:sSubPr>
            <m:ctrlPr>
              <w:rPr>
                <w:rFonts w:ascii="Cambria Math" w:eastAsiaTheme="minorEastAsia" w:hAnsi="Cambria Math"/>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arc</m:t>
            </m:r>
          </m:sub>
        </m:sSub>
      </m:oMath>
      <w:r>
        <w:rPr>
          <w:rFonts w:eastAsiaTheme="minorEastAsia"/>
          <w:sz w:val="24"/>
          <w:szCs w:val="24"/>
        </w:rPr>
        <w:t xml:space="preserve"> is the arc’s orbital rotation angle. The greatest danger comes from the roll and vertical misalignment of arc quadrupoles and final focusing quadrupoles.</w:t>
      </w:r>
    </w:p>
    <w:p w:rsidR="00101D7D" w:rsidRDefault="00101D7D" w:rsidP="00A81841">
      <w:pPr>
        <w:ind w:firstLine="360"/>
        <w:jc w:val="both"/>
        <w:rPr>
          <w:iCs/>
          <w:sz w:val="24"/>
          <w:szCs w:val="24"/>
        </w:rPr>
      </w:pPr>
      <w:r>
        <w:rPr>
          <w:rFonts w:eastAsiaTheme="minorEastAsia"/>
          <w:sz w:val="24"/>
          <w:szCs w:val="24"/>
        </w:rPr>
        <w:t xml:space="preserve">To maximize the electron polarization life time, the USR should not excite spin-orbit coupling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oMath>
      <w:r w:rsidRPr="00A2062C">
        <w:rPr>
          <w:rFonts w:eastAsiaTheme="minorEastAsia"/>
          <w:sz w:val="24"/>
          <w:szCs w:val="24"/>
        </w:rPr>
        <w:t xml:space="preserve"> </w:t>
      </w:r>
      <w:r>
        <w:rPr>
          <w:rFonts w:eastAsiaTheme="minorEastAsia"/>
          <w:sz w:val="24"/>
          <w:szCs w:val="24"/>
        </w:rPr>
        <w:t xml:space="preserve">in the arcs. Let us formulate a requirement for making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d</m:t>
            </m:r>
          </m:e>
        </m:acc>
      </m:oMath>
      <w:r>
        <w:rPr>
          <w:rFonts w:eastAsiaTheme="minorEastAsia"/>
          <w:sz w:val="24"/>
          <w:szCs w:val="24"/>
        </w:rPr>
        <w:t xml:space="preserve"> vanish in the arcs assuming that there is no vertical dispersion and betatron coupling in the arcs and the betatron tunes significantly exceed the number of spin precessions in the arcs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ν</m:t>
            </m:r>
          </m:e>
          <m:sub>
            <m:r>
              <w:rPr>
                <w:rFonts w:ascii="Cambria Math" w:eastAsiaTheme="minorEastAsia" w:hAnsi="Cambria Math"/>
                <w:sz w:val="24"/>
                <w:szCs w:val="24"/>
              </w:rPr>
              <m:t>b</m:t>
            </m:r>
          </m:sub>
        </m:sSub>
        <m:r>
          <w:rPr>
            <w:rFonts w:ascii="Cambria Math" w:eastAsiaTheme="minorEastAsia" w:hAnsi="Cambria Math"/>
            <w:sz w:val="24"/>
            <w:szCs w:val="24"/>
          </w:rPr>
          <m:t>≫γG</m:t>
        </m:r>
      </m:oMath>
      <w:r w:rsidRPr="00B85EE1">
        <w:rPr>
          <w:rFonts w:eastAsiaTheme="minorEastAsia"/>
          <w:sz w:val="24"/>
          <w:szCs w:val="24"/>
        </w:rPr>
        <w:t>:</w:t>
      </w:r>
    </w:p>
    <w:p w:rsidR="00101D7D" w:rsidRDefault="00101D7D" w:rsidP="00101D7D">
      <w:pPr>
        <w:spacing w:before="120" w:after="120"/>
        <w:jc w:val="both"/>
        <w:rPr>
          <w:iCs/>
          <w:sz w:val="24"/>
          <w:szCs w:val="24"/>
        </w:rPr>
      </w:pPr>
      <m:oMathPara>
        <m:oMath>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0</m:t>
              </m:r>
            </m:sub>
            <m:sup>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0</m:t>
                  </m:r>
                </m:sub>
              </m:sSub>
            </m:sup>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γGK</m:t>
                      </m:r>
                    </m:e>
                    <m:sub>
                      <m:r>
                        <w:rPr>
                          <w:rFonts w:ascii="Cambria Math" w:eastAsiaTheme="minorEastAsia" w:hAnsi="Cambria Math"/>
                          <w:sz w:val="24"/>
                          <w:szCs w:val="24"/>
                        </w:rPr>
                        <m:t>x</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η</m:t>
                      </m:r>
                    </m:e>
                    <m:sub>
                      <m:r>
                        <w:rPr>
                          <w:rFonts w:ascii="Cambria Math" w:eastAsiaTheme="minorEastAsia" w:hAnsi="Cambria Math"/>
                          <w:sz w:val="24"/>
                          <w:szCs w:val="24"/>
                        </w:rPr>
                        <m:t>x</m:t>
                      </m:r>
                    </m:sub>
                  </m:sSub>
                  <m:r>
                    <w:rPr>
                      <w:rFonts w:ascii="Cambria Math" w:eastAsiaTheme="minorEastAsia" w:hAnsi="Cambria Math"/>
                      <w:sz w:val="24"/>
                      <w:szCs w:val="24"/>
                    </w:rPr>
                    <m:t>+γG</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y</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η</m:t>
                      </m:r>
                    </m:e>
                    <m:sub>
                      <m:r>
                        <w:rPr>
                          <w:rFonts w:ascii="Cambria Math" w:eastAsiaTheme="minorEastAsia" w:hAnsi="Cambria Math"/>
                          <w:sz w:val="24"/>
                          <w:szCs w:val="24"/>
                        </w:rPr>
                        <m:t>y</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d>
                        <m:dPr>
                          <m:ctrlPr>
                            <w:rPr>
                              <w:rFonts w:ascii="Cambria Math" w:eastAsiaTheme="minorEastAsia" w:hAnsi="Cambria Math"/>
                              <w:i/>
                              <w:sz w:val="24"/>
                              <w:szCs w:val="24"/>
                            </w:rPr>
                          </m:ctrlPr>
                        </m:dPr>
                        <m:e>
                          <m:r>
                            <w:rPr>
                              <w:rFonts w:ascii="Cambria Math" w:eastAsiaTheme="minorEastAsia" w:hAnsi="Cambria Math"/>
                              <w:sz w:val="24"/>
                              <w:szCs w:val="24"/>
                            </w:rPr>
                            <m:t>1+G</m:t>
                          </m:r>
                        </m:e>
                      </m:d>
                      <m:r>
                        <w:rPr>
                          <w:rFonts w:ascii="Cambria Math" w:eastAsiaTheme="minorEastAsia" w:hAnsi="Cambria Math"/>
                          <w:sz w:val="24"/>
                          <w:szCs w:val="24"/>
                        </w:rPr>
                        <m:t>K</m:t>
                      </m:r>
                    </m:e>
                    <m:sub>
                      <m:r>
                        <w:rPr>
                          <w:rFonts w:ascii="Cambria Math" w:eastAsiaTheme="minorEastAsia" w:hAnsi="Cambria Math"/>
                          <w:sz w:val="24"/>
                          <w:szCs w:val="24"/>
                        </w:rPr>
                        <m:t>z</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η</m:t>
                      </m:r>
                    </m:e>
                    <m:sub>
                      <m:r>
                        <w:rPr>
                          <w:rFonts w:ascii="Cambria Math" w:eastAsiaTheme="minorEastAsia" w:hAnsi="Cambria Math"/>
                          <w:sz w:val="24"/>
                          <w:szCs w:val="24"/>
                        </w:rPr>
                        <m:t>z</m:t>
                      </m:r>
                    </m:sub>
                  </m:sSub>
                </m:e>
              </m:d>
              <m:r>
                <w:rPr>
                  <w:rFonts w:ascii="Cambria Math" w:eastAsiaTheme="minorEastAsia" w:hAnsi="Cambria Math"/>
                  <w:sz w:val="24"/>
                  <w:szCs w:val="24"/>
                </w:rPr>
                <m:t>dz</m:t>
              </m:r>
            </m:e>
          </m:nary>
          <m:r>
            <w:rPr>
              <w:rFonts w:ascii="Cambria Math" w:eastAsiaTheme="minorEastAsia" w:hAnsi="Cambria Math"/>
              <w:sz w:val="24"/>
              <w:szCs w:val="24"/>
            </w:rPr>
            <m:t>=0</m:t>
          </m:r>
        </m:oMath>
      </m:oMathPara>
    </w:p>
    <w:p w:rsidR="00101D7D" w:rsidRDefault="00101D7D" w:rsidP="00101D7D">
      <w:pPr>
        <w:jc w:val="both"/>
        <w:rPr>
          <w:iCs/>
          <w:sz w:val="24"/>
          <w:szCs w:val="24"/>
        </w:rPr>
      </w:pPr>
      <w:r>
        <w:rPr>
          <w:rFonts w:eastAsiaTheme="minorEastAsia"/>
          <w:sz w:val="24"/>
          <w:szCs w:val="24"/>
        </w:rPr>
        <w:t xml:space="preserve">where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η</m:t>
            </m:r>
          </m:e>
        </m:acc>
      </m:oMath>
      <w:r w:rsidRPr="000D3004">
        <w:rPr>
          <w:rFonts w:eastAsiaTheme="minorEastAsia"/>
          <w:sz w:val="24"/>
          <w:szCs w:val="24"/>
        </w:rPr>
        <w:t xml:space="preserve"> </w:t>
      </w:r>
      <w:r>
        <w:rPr>
          <w:rFonts w:eastAsiaTheme="minorEastAsia"/>
          <w:sz w:val="24"/>
          <w:szCs w:val="24"/>
        </w:rPr>
        <w:t xml:space="preserve">is a complex unit vector composed of two unit vectors transverse to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n</m:t>
            </m:r>
          </m:e>
        </m:acc>
      </m:oMath>
      <w:r>
        <w:rPr>
          <w:rFonts w:eastAsiaTheme="minorEastAsia"/>
          <w:sz w:val="24"/>
          <w:szCs w:val="24"/>
        </w:rPr>
        <w:t xml:space="preserve"> in the spin reference frame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x</m:t>
            </m:r>
          </m:sub>
        </m:sSub>
      </m:oMath>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y</m:t>
            </m:r>
          </m:sub>
        </m:sSub>
      </m:oMath>
      <w:r>
        <w:rPr>
          <w:rFonts w:eastAsiaTheme="minorEastAsia"/>
          <w:sz w:val="24"/>
          <w:szCs w:val="24"/>
        </w:rPr>
        <w:t xml:space="preserve">,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z</m:t>
            </m:r>
          </m:sub>
        </m:sSub>
      </m:oMath>
      <w:r>
        <w:rPr>
          <w:rFonts w:eastAsiaTheme="minorEastAsia"/>
          <w:sz w:val="24"/>
          <w:szCs w:val="24"/>
        </w:rPr>
        <w:t xml:space="preserve"> are the strengths of the dipole and solenoid fields normalized to the magnetic rigidity in the accelerator frame. The integration is done over the whole experimental straight. This condition means that the rotator must be achromatic.</w:t>
      </w:r>
    </w:p>
    <w:p w:rsidR="00101D7D" w:rsidRDefault="00101D7D" w:rsidP="00A81841">
      <w:pPr>
        <w:ind w:firstLine="360"/>
        <w:jc w:val="both"/>
        <w:rPr>
          <w:iCs/>
          <w:sz w:val="24"/>
          <w:szCs w:val="24"/>
        </w:rPr>
      </w:pPr>
      <w:r>
        <w:rPr>
          <w:rFonts w:eastAsiaTheme="minorEastAsia"/>
          <w:sz w:val="24"/>
          <w:szCs w:val="24"/>
        </w:rPr>
        <w:t>Let us now state the requirements, which must be satisfied by the USR to minimize its contribution to the polarization decrement.</w:t>
      </w:r>
    </w:p>
    <w:p w:rsidR="00101D7D" w:rsidRPr="002A11F9" w:rsidRDefault="00101D7D" w:rsidP="00101D7D">
      <w:pPr>
        <w:pStyle w:val="ListParagraph"/>
        <w:numPr>
          <w:ilvl w:val="0"/>
          <w:numId w:val="16"/>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The closed orbit must be restored.</w:t>
      </w:r>
    </w:p>
    <w:p w:rsidR="00101D7D" w:rsidRPr="002A11F9" w:rsidRDefault="00101D7D" w:rsidP="00101D7D">
      <w:pPr>
        <w:pStyle w:val="ListParagraph"/>
        <w:numPr>
          <w:ilvl w:val="0"/>
          <w:numId w:val="16"/>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Betatron coupling must be compensated at the entrance into and exit from the rotator.</w:t>
      </w:r>
    </w:p>
    <w:p w:rsidR="00101D7D" w:rsidRPr="002A11F9" w:rsidRDefault="00101D7D" w:rsidP="00101D7D">
      <w:pPr>
        <w:pStyle w:val="ListParagraph"/>
        <w:numPr>
          <w:ilvl w:val="0"/>
          <w:numId w:val="16"/>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The rotator must provide vertical polarization direction in the arcs.</w:t>
      </w:r>
    </w:p>
    <w:p w:rsidR="00101D7D" w:rsidRPr="002A11F9" w:rsidRDefault="00101D7D" w:rsidP="00101D7D">
      <w:pPr>
        <w:pStyle w:val="ListParagraph"/>
        <w:numPr>
          <w:ilvl w:val="0"/>
          <w:numId w:val="16"/>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There should be no vertical dispersion in the arcs.</w:t>
      </w:r>
    </w:p>
    <w:p w:rsidR="00101D7D" w:rsidRPr="007B70FD" w:rsidRDefault="00101D7D" w:rsidP="00101D7D">
      <w:pPr>
        <w:pStyle w:val="ListParagraph"/>
        <w:numPr>
          <w:ilvl w:val="0"/>
          <w:numId w:val="16"/>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The rotator should not excite the spin-orbit coupling function </w:t>
      </w:r>
      <m:oMath>
        <m:acc>
          <m:accPr>
            <m:chr m:val="⃗"/>
            <m:ctrlPr>
              <w:rPr>
                <w:rFonts w:ascii="Cambria Math" w:hAnsi="Cambria Math" w:cs="Times New Roman"/>
                <w:i/>
                <w:sz w:val="24"/>
                <w:szCs w:val="24"/>
              </w:rPr>
            </m:ctrlPr>
          </m:accPr>
          <m:e>
            <m:r>
              <w:rPr>
                <w:rFonts w:ascii="Cambria Math" w:hAnsi="Cambria Math" w:cs="Times New Roman"/>
                <w:sz w:val="24"/>
                <w:szCs w:val="24"/>
              </w:rPr>
              <m:t>d</m:t>
            </m:r>
          </m:e>
        </m:acc>
      </m:oMath>
      <w:r w:rsidRPr="002A11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at the entrance into the arc.</w:t>
      </w:r>
    </w:p>
    <w:p w:rsidR="00101D7D" w:rsidRDefault="00101D7D" w:rsidP="00A81841">
      <w:pPr>
        <w:ind w:firstLine="360"/>
        <w:jc w:val="both"/>
        <w:rPr>
          <w:rFonts w:eastAsiaTheme="minorEastAsia"/>
          <w:sz w:val="24"/>
          <w:szCs w:val="24"/>
        </w:rPr>
      </w:pPr>
      <w:r>
        <w:rPr>
          <w:rFonts w:eastAsiaTheme="minorEastAsia"/>
          <w:sz w:val="24"/>
          <w:szCs w:val="24"/>
        </w:rPr>
        <w:t>Increase in the radiative decrement in this case is associated only with radiation in the USR. The contribution of radiation to the decrement has a cubic dependence on the rotator’s dipole fields and can be reduced by increasing the dipole lengths.</w:t>
      </w:r>
    </w:p>
    <w:p w:rsidR="00101D7D" w:rsidRDefault="00101D7D" w:rsidP="00A81841">
      <w:pPr>
        <w:ind w:firstLine="360"/>
        <w:jc w:val="both"/>
        <w:rPr>
          <w:iCs/>
          <w:sz w:val="24"/>
          <w:szCs w:val="24"/>
        </w:rPr>
      </w:pPr>
      <w:r>
        <w:rPr>
          <w:rFonts w:eastAsiaTheme="minorEastAsia"/>
          <w:sz w:val="24"/>
          <w:szCs w:val="24"/>
        </w:rPr>
        <w:t>At the next stage, one should optimize the USR</w:t>
      </w:r>
      <w:r w:rsidRPr="00743016">
        <w:rPr>
          <w:rFonts w:eastAsiaTheme="minorEastAsia"/>
          <w:sz w:val="24"/>
          <w:szCs w:val="24"/>
        </w:rPr>
        <w:t xml:space="preserve"> </w:t>
      </w:r>
      <w:r>
        <w:rPr>
          <w:rFonts w:eastAsiaTheme="minorEastAsia"/>
          <w:sz w:val="24"/>
          <w:szCs w:val="24"/>
        </w:rPr>
        <w:t>parameters and the electron ring lattice to satisfy the above requirements. One should then numerically verify the spin matched</w:t>
      </w:r>
      <w:r w:rsidRPr="001E74DC">
        <w:rPr>
          <w:rFonts w:eastAsiaTheme="minorEastAsia"/>
          <w:sz w:val="24"/>
          <w:szCs w:val="24"/>
        </w:rPr>
        <w:t xml:space="preserve"> design</w:t>
      </w:r>
      <w:r>
        <w:rPr>
          <w:rFonts w:eastAsiaTheme="minorEastAsia"/>
          <w:sz w:val="24"/>
          <w:szCs w:val="24"/>
        </w:rPr>
        <w:t xml:space="preserve"> including alignment errors of the electron ring’s magnetic elements.</w:t>
      </w:r>
    </w:p>
    <w:p w:rsidR="003A4840" w:rsidRDefault="003A4840" w:rsidP="00062EAE">
      <w:pPr>
        <w:rPr>
          <w:sz w:val="24"/>
          <w:szCs w:val="24"/>
        </w:rPr>
      </w:pPr>
    </w:p>
    <w:p w:rsidR="00992349" w:rsidRPr="00442FF0" w:rsidRDefault="00992349" w:rsidP="00062EAE">
      <w:pPr>
        <w:rPr>
          <w:b/>
          <w:sz w:val="24"/>
          <w:szCs w:val="24"/>
          <w:u w:val="single"/>
        </w:rPr>
      </w:pPr>
      <w:r w:rsidRPr="00442FF0">
        <w:rPr>
          <w:b/>
          <w:sz w:val="24"/>
          <w:szCs w:val="24"/>
          <w:u w:val="single"/>
        </w:rPr>
        <w:t>Budget</w:t>
      </w:r>
    </w:p>
    <w:p w:rsidR="00236229" w:rsidRDefault="00236229" w:rsidP="00062EAE">
      <w:pPr>
        <w:rPr>
          <w:sz w:val="24"/>
          <w:szCs w:val="24"/>
        </w:rPr>
      </w:pPr>
    </w:p>
    <w:p w:rsidR="00101D7D" w:rsidRPr="00EC7BE5" w:rsidRDefault="00101D7D" w:rsidP="00101D7D">
      <w:pPr>
        <w:jc w:val="center"/>
        <w:rPr>
          <w:b/>
          <w:sz w:val="24"/>
          <w:szCs w:val="24"/>
        </w:rPr>
      </w:pPr>
      <w:r w:rsidRPr="00EC7BE5">
        <w:rPr>
          <w:b/>
          <w:sz w:val="24"/>
          <w:szCs w:val="24"/>
        </w:rPr>
        <w:t>FY14</w:t>
      </w:r>
      <w:r>
        <w:rPr>
          <w:b/>
          <w:sz w:val="24"/>
          <w:szCs w:val="24"/>
        </w:rPr>
        <w:t xml:space="preserve"> R&amp;D Funding</w:t>
      </w:r>
    </w:p>
    <w:tbl>
      <w:tblPr>
        <w:tblW w:w="0" w:type="auto"/>
        <w:jc w:val="center"/>
        <w:tblLayout w:type="fixed"/>
        <w:tblCellMar>
          <w:left w:w="0" w:type="dxa"/>
          <w:right w:w="0" w:type="dxa"/>
        </w:tblCellMar>
        <w:tblLook w:val="0000" w:firstRow="0" w:lastRow="0" w:firstColumn="0" w:lastColumn="0" w:noHBand="0" w:noVBand="0"/>
      </w:tblPr>
      <w:tblGrid>
        <w:gridCol w:w="739"/>
        <w:gridCol w:w="2342"/>
        <w:gridCol w:w="1202"/>
        <w:gridCol w:w="1170"/>
        <w:gridCol w:w="1440"/>
        <w:gridCol w:w="1234"/>
      </w:tblGrid>
      <w:tr w:rsidR="00101D7D" w:rsidRPr="0092172B" w:rsidTr="00D42D0B">
        <w:trPr>
          <w:trHeight w:val="213"/>
          <w:jc w:val="center"/>
        </w:trPr>
        <w:tc>
          <w:tcPr>
            <w:tcW w:w="739" w:type="dxa"/>
            <w:tcBorders>
              <w:top w:val="single" w:sz="4" w:space="0" w:color="auto"/>
              <w:left w:val="single" w:sz="4" w:space="0" w:color="auto"/>
              <w:bottom w:val="nil"/>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 </w:t>
            </w:r>
          </w:p>
        </w:tc>
        <w:tc>
          <w:tcPr>
            <w:tcW w:w="2342" w:type="dxa"/>
            <w:vMerge w:val="restart"/>
            <w:tcBorders>
              <w:top w:val="single" w:sz="4" w:space="0" w:color="auto"/>
              <w:left w:val="single" w:sz="4" w:space="0" w:color="auto"/>
              <w:right w:val="single" w:sz="4" w:space="0" w:color="auto"/>
            </w:tcBorders>
            <w:shd w:val="clear" w:color="auto" w:fill="CCFFFF"/>
            <w:noWrap/>
            <w:tcMar>
              <w:top w:w="20" w:type="dxa"/>
              <w:left w:w="20" w:type="dxa"/>
              <w:bottom w:w="0" w:type="dxa"/>
              <w:right w:w="20" w:type="dxa"/>
            </w:tcMar>
            <w:vAlign w:val="bottom"/>
          </w:tcPr>
          <w:p w:rsidR="00101D7D" w:rsidRPr="00141B43" w:rsidRDefault="00101D7D" w:rsidP="00D42D0B">
            <w:pPr>
              <w:jc w:val="center"/>
              <w:rPr>
                <w:b/>
                <w:sz w:val="22"/>
                <w:szCs w:val="22"/>
              </w:rPr>
            </w:pPr>
            <w:r w:rsidRPr="00141B43">
              <w:rPr>
                <w:b/>
                <w:sz w:val="22"/>
                <w:szCs w:val="22"/>
              </w:rPr>
              <w:t> </w:t>
            </w:r>
          </w:p>
          <w:p w:rsidR="00101D7D" w:rsidRPr="00141B43" w:rsidRDefault="00101D7D" w:rsidP="00D42D0B">
            <w:pPr>
              <w:jc w:val="center"/>
              <w:rPr>
                <w:b/>
                <w:sz w:val="22"/>
                <w:szCs w:val="22"/>
              </w:rPr>
            </w:pPr>
            <w:r w:rsidRPr="00141B43">
              <w:rPr>
                <w:b/>
                <w:sz w:val="22"/>
                <w:szCs w:val="22"/>
              </w:rPr>
              <w:t>Item/Task</w:t>
            </w:r>
          </w:p>
        </w:tc>
        <w:tc>
          <w:tcPr>
            <w:tcW w:w="1202" w:type="dxa"/>
            <w:vMerge w:val="restart"/>
            <w:tcBorders>
              <w:top w:val="single" w:sz="4" w:space="0" w:color="auto"/>
              <w:left w:val="nil"/>
              <w:right w:val="single" w:sz="4" w:space="0" w:color="auto"/>
            </w:tcBorders>
            <w:shd w:val="clear" w:color="auto" w:fill="CCFFFF"/>
            <w:tcMar>
              <w:top w:w="20" w:type="dxa"/>
              <w:left w:w="20" w:type="dxa"/>
              <w:bottom w:w="0" w:type="dxa"/>
              <w:right w:w="20" w:type="dxa"/>
            </w:tcMar>
          </w:tcPr>
          <w:p w:rsidR="00101D7D" w:rsidRPr="00141B43" w:rsidRDefault="00101D7D" w:rsidP="00D42D0B">
            <w:pPr>
              <w:jc w:val="center"/>
              <w:rPr>
                <w:b/>
                <w:sz w:val="22"/>
                <w:szCs w:val="22"/>
              </w:rPr>
            </w:pPr>
            <w:r w:rsidRPr="00141B43">
              <w:rPr>
                <w:b/>
                <w:sz w:val="22"/>
                <w:szCs w:val="22"/>
              </w:rPr>
              <w:t>Baseline</w:t>
            </w:r>
          </w:p>
          <w:p w:rsidR="00101D7D" w:rsidRPr="00141B43" w:rsidRDefault="00101D7D" w:rsidP="00D42D0B">
            <w:pPr>
              <w:jc w:val="center"/>
              <w:rPr>
                <w:b/>
                <w:sz w:val="22"/>
                <w:szCs w:val="22"/>
              </w:rPr>
            </w:pPr>
            <w:r w:rsidRPr="00141B43">
              <w:rPr>
                <w:b/>
                <w:sz w:val="22"/>
                <w:szCs w:val="22"/>
              </w:rPr>
              <w:t>Total Cost</w:t>
            </w:r>
          </w:p>
        </w:tc>
        <w:tc>
          <w:tcPr>
            <w:tcW w:w="1170" w:type="dxa"/>
            <w:vMerge w:val="restart"/>
            <w:tcBorders>
              <w:top w:val="single" w:sz="4" w:space="0" w:color="auto"/>
              <w:left w:val="single" w:sz="4" w:space="0" w:color="auto"/>
              <w:right w:val="nil"/>
            </w:tcBorders>
            <w:shd w:val="clear" w:color="auto" w:fill="CCFFFF"/>
            <w:noWrap/>
            <w:tcMar>
              <w:top w:w="20" w:type="dxa"/>
              <w:left w:w="20" w:type="dxa"/>
              <w:bottom w:w="0" w:type="dxa"/>
              <w:right w:w="20" w:type="dxa"/>
            </w:tcMar>
            <w:vAlign w:val="bottom"/>
          </w:tcPr>
          <w:p w:rsidR="00101D7D" w:rsidRPr="00141B43" w:rsidRDefault="00101D7D" w:rsidP="00D42D0B">
            <w:pPr>
              <w:jc w:val="center"/>
              <w:rPr>
                <w:b/>
                <w:sz w:val="22"/>
                <w:szCs w:val="22"/>
              </w:rPr>
            </w:pPr>
            <w:r w:rsidRPr="00141B43">
              <w:rPr>
                <w:b/>
                <w:sz w:val="22"/>
                <w:szCs w:val="22"/>
              </w:rPr>
              <w:t>Costed  &amp;</w:t>
            </w:r>
          </w:p>
          <w:p w:rsidR="00101D7D" w:rsidRPr="00141B43" w:rsidRDefault="00101D7D" w:rsidP="00D42D0B">
            <w:pPr>
              <w:jc w:val="center"/>
              <w:rPr>
                <w:b/>
                <w:sz w:val="22"/>
                <w:szCs w:val="22"/>
              </w:rPr>
            </w:pPr>
            <w:r w:rsidRPr="00141B43">
              <w:rPr>
                <w:b/>
                <w:sz w:val="22"/>
                <w:szCs w:val="22"/>
              </w:rPr>
              <w:t>Committed</w:t>
            </w:r>
          </w:p>
        </w:tc>
        <w:tc>
          <w:tcPr>
            <w:tcW w:w="1440" w:type="dxa"/>
            <w:vMerge w:val="restart"/>
            <w:tcBorders>
              <w:top w:val="single" w:sz="4" w:space="0" w:color="auto"/>
              <w:left w:val="single" w:sz="4" w:space="0" w:color="auto"/>
              <w:right w:val="nil"/>
            </w:tcBorders>
            <w:shd w:val="clear" w:color="auto" w:fill="CCFFFF"/>
            <w:noWrap/>
            <w:tcMar>
              <w:top w:w="20" w:type="dxa"/>
              <w:left w:w="20" w:type="dxa"/>
              <w:bottom w:w="0" w:type="dxa"/>
              <w:right w:w="20" w:type="dxa"/>
            </w:tcMar>
            <w:vAlign w:val="bottom"/>
          </w:tcPr>
          <w:p w:rsidR="00101D7D" w:rsidRPr="00141B43" w:rsidRDefault="00101D7D" w:rsidP="00D42D0B">
            <w:pPr>
              <w:jc w:val="center"/>
              <w:rPr>
                <w:b/>
                <w:sz w:val="22"/>
                <w:szCs w:val="22"/>
              </w:rPr>
            </w:pPr>
            <w:r w:rsidRPr="00141B43">
              <w:rPr>
                <w:b/>
                <w:sz w:val="22"/>
                <w:szCs w:val="22"/>
              </w:rPr>
              <w:t>Estimate</w:t>
            </w:r>
          </w:p>
          <w:p w:rsidR="00101D7D" w:rsidRPr="00141B43" w:rsidRDefault="00101D7D" w:rsidP="00D42D0B">
            <w:pPr>
              <w:jc w:val="center"/>
              <w:rPr>
                <w:b/>
                <w:sz w:val="22"/>
                <w:szCs w:val="22"/>
              </w:rPr>
            </w:pPr>
            <w:r w:rsidRPr="00141B43">
              <w:rPr>
                <w:b/>
                <w:sz w:val="22"/>
                <w:szCs w:val="22"/>
              </w:rPr>
              <w:t>To Complete</w:t>
            </w:r>
          </w:p>
        </w:tc>
        <w:tc>
          <w:tcPr>
            <w:tcW w:w="1234" w:type="dxa"/>
            <w:vMerge w:val="restart"/>
            <w:tcBorders>
              <w:top w:val="single" w:sz="4" w:space="0" w:color="auto"/>
              <w:left w:val="single" w:sz="4" w:space="0" w:color="auto"/>
              <w:right w:val="single" w:sz="4" w:space="0" w:color="auto"/>
            </w:tcBorders>
            <w:shd w:val="clear" w:color="auto" w:fill="CCFFFF"/>
            <w:noWrap/>
            <w:tcMar>
              <w:top w:w="20" w:type="dxa"/>
              <w:left w:w="20" w:type="dxa"/>
              <w:bottom w:w="0" w:type="dxa"/>
              <w:right w:w="20" w:type="dxa"/>
            </w:tcMar>
            <w:vAlign w:val="bottom"/>
          </w:tcPr>
          <w:p w:rsidR="00101D7D" w:rsidRPr="00141B43" w:rsidRDefault="00101D7D" w:rsidP="00D42D0B">
            <w:pPr>
              <w:jc w:val="center"/>
              <w:rPr>
                <w:b/>
                <w:sz w:val="22"/>
                <w:szCs w:val="22"/>
              </w:rPr>
            </w:pPr>
            <w:r w:rsidRPr="00141B43">
              <w:rPr>
                <w:b/>
                <w:sz w:val="22"/>
                <w:szCs w:val="22"/>
              </w:rPr>
              <w:t>Estimated</w:t>
            </w:r>
          </w:p>
          <w:p w:rsidR="00101D7D" w:rsidRPr="00141B43" w:rsidRDefault="00101D7D" w:rsidP="00D42D0B">
            <w:pPr>
              <w:jc w:val="center"/>
              <w:rPr>
                <w:b/>
                <w:sz w:val="22"/>
                <w:szCs w:val="22"/>
              </w:rPr>
            </w:pPr>
            <w:r w:rsidRPr="00141B43">
              <w:rPr>
                <w:b/>
                <w:sz w:val="22"/>
                <w:szCs w:val="22"/>
              </w:rPr>
              <w:t>Total Cost</w:t>
            </w:r>
          </w:p>
        </w:tc>
      </w:tr>
      <w:tr w:rsidR="00101D7D" w:rsidRPr="0092172B" w:rsidTr="00D42D0B">
        <w:trPr>
          <w:trHeight w:val="213"/>
          <w:jc w:val="center"/>
        </w:trPr>
        <w:tc>
          <w:tcPr>
            <w:tcW w:w="739" w:type="dxa"/>
            <w:tcBorders>
              <w:top w:val="nil"/>
              <w:left w:val="single" w:sz="4" w:space="0" w:color="auto"/>
              <w:bottom w:val="nil"/>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ID #</w:t>
            </w:r>
          </w:p>
        </w:tc>
        <w:tc>
          <w:tcPr>
            <w:tcW w:w="2342" w:type="dxa"/>
            <w:vMerge/>
            <w:tcBorders>
              <w:left w:val="single" w:sz="4" w:space="0" w:color="auto"/>
              <w:bottom w:val="nil"/>
              <w:right w:val="single" w:sz="4" w:space="0" w:color="auto"/>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p>
        </w:tc>
        <w:tc>
          <w:tcPr>
            <w:tcW w:w="1202" w:type="dxa"/>
            <w:vMerge/>
            <w:tcBorders>
              <w:left w:val="nil"/>
              <w:bottom w:val="nil"/>
              <w:right w:val="single" w:sz="4" w:space="0" w:color="auto"/>
            </w:tcBorders>
            <w:shd w:val="clear" w:color="auto" w:fill="CCFFFF"/>
            <w:tcMar>
              <w:top w:w="20" w:type="dxa"/>
              <w:left w:w="20" w:type="dxa"/>
              <w:bottom w:w="0" w:type="dxa"/>
              <w:right w:w="20" w:type="dxa"/>
            </w:tcMar>
          </w:tcPr>
          <w:p w:rsidR="00101D7D" w:rsidRPr="005B68EA" w:rsidRDefault="00101D7D" w:rsidP="00D42D0B">
            <w:pPr>
              <w:jc w:val="center"/>
              <w:rPr>
                <w:sz w:val="22"/>
                <w:szCs w:val="22"/>
              </w:rPr>
            </w:pPr>
          </w:p>
        </w:tc>
        <w:tc>
          <w:tcPr>
            <w:tcW w:w="1170" w:type="dxa"/>
            <w:vMerge/>
            <w:tcBorders>
              <w:left w:val="single" w:sz="4" w:space="0" w:color="auto"/>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p>
        </w:tc>
        <w:tc>
          <w:tcPr>
            <w:tcW w:w="1440" w:type="dxa"/>
            <w:vMerge/>
            <w:tcBorders>
              <w:left w:val="single" w:sz="4" w:space="0" w:color="auto"/>
              <w:bottom w:val="nil"/>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p>
        </w:tc>
        <w:tc>
          <w:tcPr>
            <w:tcW w:w="1234" w:type="dxa"/>
            <w:vMerge/>
            <w:tcBorders>
              <w:left w:val="single" w:sz="4" w:space="0" w:color="auto"/>
              <w:bottom w:val="nil"/>
              <w:right w:val="single" w:sz="4" w:space="0" w:color="auto"/>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p>
        </w:tc>
      </w:tr>
      <w:tr w:rsidR="00101D7D" w:rsidRPr="0092172B" w:rsidTr="00D42D0B">
        <w:trPr>
          <w:trHeight w:val="213"/>
          <w:jc w:val="center"/>
        </w:trPr>
        <w:tc>
          <w:tcPr>
            <w:tcW w:w="739"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 </w:t>
            </w:r>
          </w:p>
        </w:tc>
        <w:tc>
          <w:tcPr>
            <w:tcW w:w="2342"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 </w:t>
            </w:r>
          </w:p>
        </w:tc>
        <w:tc>
          <w:tcPr>
            <w:tcW w:w="1202" w:type="dxa"/>
            <w:tcBorders>
              <w:top w:val="nil"/>
              <w:left w:val="nil"/>
              <w:bottom w:val="single" w:sz="4" w:space="0" w:color="auto"/>
              <w:right w:val="single" w:sz="4" w:space="0" w:color="auto"/>
            </w:tcBorders>
            <w:shd w:val="clear" w:color="auto" w:fill="CCFFFF"/>
            <w:tcMar>
              <w:top w:w="20" w:type="dxa"/>
              <w:left w:w="20" w:type="dxa"/>
              <w:bottom w:w="0" w:type="dxa"/>
              <w:right w:w="20" w:type="dxa"/>
            </w:tcMar>
          </w:tcPr>
          <w:p w:rsidR="00101D7D" w:rsidRPr="005B68EA" w:rsidRDefault="00101D7D" w:rsidP="00D42D0B">
            <w:pPr>
              <w:jc w:val="center"/>
              <w:rPr>
                <w:sz w:val="22"/>
                <w:szCs w:val="22"/>
              </w:rPr>
            </w:pPr>
            <w:r w:rsidRPr="005B68EA">
              <w:rPr>
                <w:sz w:val="22"/>
                <w:szCs w:val="22"/>
              </w:rPr>
              <w:t>(AY$)</w:t>
            </w:r>
          </w:p>
        </w:tc>
        <w:tc>
          <w:tcPr>
            <w:tcW w:w="1170" w:type="dxa"/>
            <w:tcBorders>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(AY$)</w:t>
            </w:r>
          </w:p>
        </w:tc>
        <w:tc>
          <w:tcPr>
            <w:tcW w:w="1440" w:type="dxa"/>
            <w:tcBorders>
              <w:top w:val="nil"/>
              <w:left w:val="single" w:sz="4" w:space="0" w:color="auto"/>
              <w:bottom w:val="single" w:sz="4" w:space="0" w:color="auto"/>
              <w:right w:val="nil"/>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(AY$)</w:t>
            </w:r>
          </w:p>
        </w:tc>
        <w:tc>
          <w:tcPr>
            <w:tcW w:w="1234" w:type="dxa"/>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(AY$)</w:t>
            </w:r>
          </w:p>
        </w:tc>
      </w:tr>
      <w:tr w:rsidR="00101D7D" w:rsidRPr="0092172B" w:rsidTr="00D42D0B">
        <w:trPr>
          <w:trHeight w:val="246"/>
          <w:jc w:val="center"/>
        </w:trPr>
        <w:tc>
          <w:tcPr>
            <w:tcW w:w="73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JSS</w:t>
            </w:r>
          </w:p>
        </w:tc>
        <w:tc>
          <w:tcPr>
            <w:tcW w:w="23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01D7D" w:rsidRPr="005B68EA" w:rsidRDefault="00101D7D" w:rsidP="00D42D0B">
            <w:pPr>
              <w:rPr>
                <w:sz w:val="22"/>
                <w:szCs w:val="22"/>
              </w:rPr>
            </w:pPr>
            <w:r w:rsidRPr="005B68EA">
              <w:rPr>
                <w:sz w:val="22"/>
                <w:szCs w:val="22"/>
              </w:rPr>
              <w:t>Junior scientist support</w:t>
            </w:r>
          </w:p>
        </w:tc>
        <w:tc>
          <w:tcPr>
            <w:tcW w:w="1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$180,262 </w:t>
            </w:r>
          </w:p>
        </w:tc>
        <w:tc>
          <w:tcPr>
            <w:tcW w:w="117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$180,262 </w:t>
            </w:r>
          </w:p>
        </w:tc>
        <w:tc>
          <w:tcPr>
            <w:tcW w:w="14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$0 </w:t>
            </w:r>
          </w:p>
        </w:tc>
        <w:tc>
          <w:tcPr>
            <w:tcW w:w="12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$180,262 </w:t>
            </w:r>
          </w:p>
        </w:tc>
      </w:tr>
      <w:tr w:rsidR="00101D7D" w:rsidRPr="0092172B" w:rsidTr="00D42D0B">
        <w:trPr>
          <w:trHeight w:val="246"/>
          <w:jc w:val="center"/>
        </w:trPr>
        <w:tc>
          <w:tcPr>
            <w:tcW w:w="73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KS</w:t>
            </w:r>
          </w:p>
        </w:tc>
        <w:tc>
          <w:tcPr>
            <w:tcW w:w="23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01D7D" w:rsidRPr="005B68EA" w:rsidRDefault="00101D7D" w:rsidP="00D42D0B">
            <w:pPr>
              <w:rPr>
                <w:sz w:val="22"/>
                <w:szCs w:val="22"/>
              </w:rPr>
            </w:pPr>
            <w:r w:rsidRPr="005B68EA">
              <w:rPr>
                <w:sz w:val="22"/>
                <w:szCs w:val="22"/>
              </w:rPr>
              <w:t>Kondratenko support</w:t>
            </w:r>
          </w:p>
        </w:tc>
        <w:tc>
          <w:tcPr>
            <w:tcW w:w="1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$142,897 </w:t>
            </w:r>
          </w:p>
        </w:tc>
        <w:tc>
          <w:tcPr>
            <w:tcW w:w="117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$135,609 </w:t>
            </w:r>
          </w:p>
        </w:tc>
        <w:tc>
          <w:tcPr>
            <w:tcW w:w="14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$7,288 </w:t>
            </w:r>
          </w:p>
        </w:tc>
        <w:tc>
          <w:tcPr>
            <w:tcW w:w="12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$142,897 </w:t>
            </w:r>
          </w:p>
        </w:tc>
      </w:tr>
      <w:tr w:rsidR="00101D7D" w:rsidRPr="0092172B" w:rsidTr="00D42D0B">
        <w:trPr>
          <w:trHeight w:val="246"/>
          <w:jc w:val="center"/>
        </w:trPr>
        <w:tc>
          <w:tcPr>
            <w:tcW w:w="73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101D7D" w:rsidRPr="005B68EA" w:rsidRDefault="00101D7D" w:rsidP="00D42D0B">
            <w:pPr>
              <w:jc w:val="center"/>
              <w:rPr>
                <w:sz w:val="22"/>
                <w:szCs w:val="22"/>
              </w:rPr>
            </w:pPr>
            <w:r w:rsidRPr="005B68EA">
              <w:rPr>
                <w:sz w:val="22"/>
                <w:szCs w:val="22"/>
              </w:rPr>
              <w:t>MISC</w:t>
            </w:r>
          </w:p>
        </w:tc>
        <w:tc>
          <w:tcPr>
            <w:tcW w:w="234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01D7D" w:rsidRPr="005B68EA" w:rsidRDefault="00101D7D" w:rsidP="00D42D0B">
            <w:pPr>
              <w:rPr>
                <w:sz w:val="22"/>
                <w:szCs w:val="22"/>
              </w:rPr>
            </w:pPr>
            <w:r w:rsidRPr="005B68EA">
              <w:rPr>
                <w:sz w:val="22"/>
                <w:szCs w:val="22"/>
              </w:rPr>
              <w:t>Travel, computers, etc.</w:t>
            </w:r>
          </w:p>
        </w:tc>
        <w:tc>
          <w:tcPr>
            <w:tcW w:w="1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$22,841 </w:t>
            </w:r>
          </w:p>
        </w:tc>
        <w:tc>
          <w:tcPr>
            <w:tcW w:w="117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$22,841 </w:t>
            </w:r>
          </w:p>
        </w:tc>
        <w:tc>
          <w:tcPr>
            <w:tcW w:w="14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$0 </w:t>
            </w:r>
          </w:p>
        </w:tc>
        <w:tc>
          <w:tcPr>
            <w:tcW w:w="12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$22,841 </w:t>
            </w:r>
          </w:p>
        </w:tc>
      </w:tr>
      <w:tr w:rsidR="00101D7D" w:rsidRPr="0092172B" w:rsidTr="00D42D0B">
        <w:trPr>
          <w:trHeight w:val="213"/>
          <w:jc w:val="center"/>
        </w:trPr>
        <w:tc>
          <w:tcPr>
            <w:tcW w:w="3081" w:type="dxa"/>
            <w:gridSpan w:val="2"/>
            <w:tcBorders>
              <w:top w:val="single" w:sz="12" w:space="0" w:color="auto"/>
              <w:left w:val="single" w:sz="12" w:space="0" w:color="auto"/>
              <w:bottom w:val="single" w:sz="12" w:space="0" w:color="auto"/>
              <w:right w:val="single" w:sz="12" w:space="0" w:color="auto"/>
            </w:tcBorders>
            <w:noWrap/>
            <w:tcMar>
              <w:top w:w="20" w:type="dxa"/>
              <w:left w:w="20" w:type="dxa"/>
              <w:bottom w:w="0" w:type="dxa"/>
              <w:right w:w="20" w:type="dxa"/>
            </w:tcMar>
            <w:vAlign w:val="bottom"/>
          </w:tcPr>
          <w:p w:rsidR="00101D7D" w:rsidRPr="005B68EA" w:rsidRDefault="00101D7D" w:rsidP="00D42D0B">
            <w:pPr>
              <w:jc w:val="right"/>
              <w:rPr>
                <w:sz w:val="22"/>
                <w:szCs w:val="22"/>
              </w:rPr>
            </w:pPr>
            <w:r w:rsidRPr="005B68EA">
              <w:rPr>
                <w:sz w:val="22"/>
                <w:szCs w:val="22"/>
              </w:rPr>
              <w:t>Totals:</w:t>
            </w:r>
            <w:r>
              <w:rPr>
                <w:sz w:val="22"/>
                <w:szCs w:val="22"/>
              </w:rPr>
              <w:t xml:space="preserve">   </w:t>
            </w:r>
          </w:p>
        </w:tc>
        <w:tc>
          <w:tcPr>
            <w:tcW w:w="1202" w:type="dxa"/>
            <w:tcBorders>
              <w:top w:val="single" w:sz="12" w:space="0" w:color="auto"/>
              <w:left w:val="single" w:sz="12" w:space="0" w:color="auto"/>
              <w:bottom w:val="single" w:sz="12" w:space="0" w:color="auto"/>
              <w:right w:val="single" w:sz="12" w:space="0" w:color="auto"/>
            </w:tcBorders>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$346,000 </w:t>
            </w:r>
          </w:p>
        </w:tc>
        <w:tc>
          <w:tcPr>
            <w:tcW w:w="1170" w:type="dxa"/>
            <w:tcBorders>
              <w:top w:val="single" w:sz="12" w:space="0" w:color="auto"/>
              <w:left w:val="single" w:sz="12" w:space="0" w:color="auto"/>
              <w:bottom w:val="single" w:sz="12" w:space="0" w:color="auto"/>
              <w:right w:val="single" w:sz="12"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$338,712 </w:t>
            </w:r>
          </w:p>
        </w:tc>
        <w:tc>
          <w:tcPr>
            <w:tcW w:w="1440" w:type="dxa"/>
            <w:tcBorders>
              <w:top w:val="single" w:sz="12" w:space="0" w:color="auto"/>
              <w:left w:val="single" w:sz="12" w:space="0" w:color="auto"/>
              <w:bottom w:val="single" w:sz="12" w:space="0" w:color="auto"/>
              <w:right w:val="single" w:sz="12"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$7,288 </w:t>
            </w:r>
          </w:p>
        </w:tc>
        <w:tc>
          <w:tcPr>
            <w:tcW w:w="1234" w:type="dxa"/>
            <w:tcBorders>
              <w:top w:val="single" w:sz="12" w:space="0" w:color="auto"/>
              <w:left w:val="single" w:sz="12" w:space="0" w:color="auto"/>
              <w:bottom w:val="single" w:sz="12" w:space="0" w:color="auto"/>
              <w:right w:val="single" w:sz="12" w:space="0" w:color="auto"/>
            </w:tcBorders>
            <w:noWrap/>
            <w:tcMar>
              <w:top w:w="20" w:type="dxa"/>
              <w:left w:w="20" w:type="dxa"/>
              <w:bottom w:w="0" w:type="dxa"/>
              <w:right w:w="20" w:type="dxa"/>
            </w:tcMar>
            <w:vAlign w:val="center"/>
          </w:tcPr>
          <w:p w:rsidR="00101D7D" w:rsidRDefault="00101D7D" w:rsidP="00D42D0B">
            <w:pPr>
              <w:jc w:val="center"/>
              <w:rPr>
                <w:color w:val="000000"/>
                <w:sz w:val="22"/>
                <w:szCs w:val="22"/>
              </w:rPr>
            </w:pPr>
            <w:r>
              <w:rPr>
                <w:color w:val="000000"/>
                <w:sz w:val="22"/>
                <w:szCs w:val="22"/>
              </w:rPr>
              <w:t xml:space="preserve">$346,000 </w:t>
            </w:r>
          </w:p>
        </w:tc>
      </w:tr>
    </w:tbl>
    <w:p w:rsidR="00442FF0" w:rsidRPr="006C7E5C" w:rsidRDefault="00442FF0" w:rsidP="00780892">
      <w:pPr>
        <w:rPr>
          <w:sz w:val="24"/>
          <w:szCs w:val="24"/>
        </w:rPr>
      </w:pPr>
      <w:bookmarkStart w:id="0" w:name="_GoBack"/>
      <w:bookmarkEnd w:id="0"/>
      <w:r w:rsidRPr="006C7E5C">
        <w:rPr>
          <w:sz w:val="24"/>
          <w:szCs w:val="24"/>
          <w:u w:val="single"/>
        </w:rPr>
        <w:t>Summary of expenditures:</w:t>
      </w:r>
    </w:p>
    <w:p w:rsidR="00236229" w:rsidRDefault="00236229" w:rsidP="00062EAE">
      <w:pPr>
        <w:rPr>
          <w:sz w:val="24"/>
          <w:szCs w:val="24"/>
        </w:rPr>
      </w:pPr>
    </w:p>
    <w:tbl>
      <w:tblPr>
        <w:tblW w:w="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289"/>
      </w:tblGrid>
      <w:tr w:rsidR="00101D7D" w:rsidRPr="00345611" w:rsidTr="00101D7D">
        <w:trPr>
          <w:jc w:val="center"/>
        </w:trPr>
        <w:tc>
          <w:tcPr>
            <w:tcW w:w="3060" w:type="dxa"/>
          </w:tcPr>
          <w:p w:rsidR="00101D7D" w:rsidRPr="00660997" w:rsidRDefault="00101D7D" w:rsidP="00D42D0B">
            <w:pPr>
              <w:rPr>
                <w:sz w:val="22"/>
                <w:szCs w:val="22"/>
              </w:rPr>
            </w:pPr>
          </w:p>
        </w:tc>
        <w:tc>
          <w:tcPr>
            <w:tcW w:w="1289" w:type="dxa"/>
            <w:vAlign w:val="center"/>
          </w:tcPr>
          <w:p w:rsidR="00101D7D" w:rsidRDefault="00101D7D" w:rsidP="00D42D0B">
            <w:pPr>
              <w:jc w:val="center"/>
              <w:rPr>
                <w:color w:val="000000"/>
                <w:sz w:val="22"/>
                <w:szCs w:val="22"/>
              </w:rPr>
            </w:pPr>
            <w:r>
              <w:rPr>
                <w:color w:val="000000"/>
                <w:sz w:val="22"/>
                <w:szCs w:val="22"/>
              </w:rPr>
              <w:t>FY 2014</w:t>
            </w:r>
          </w:p>
        </w:tc>
      </w:tr>
      <w:tr w:rsidR="00101D7D" w:rsidRPr="00345611" w:rsidTr="00101D7D">
        <w:trPr>
          <w:jc w:val="center"/>
        </w:trPr>
        <w:tc>
          <w:tcPr>
            <w:tcW w:w="3060" w:type="dxa"/>
          </w:tcPr>
          <w:p w:rsidR="00101D7D" w:rsidRPr="00660997" w:rsidRDefault="00101D7D" w:rsidP="00D42D0B">
            <w:pPr>
              <w:rPr>
                <w:sz w:val="22"/>
                <w:szCs w:val="22"/>
              </w:rPr>
            </w:pPr>
            <w:r w:rsidRPr="00660997">
              <w:rPr>
                <w:sz w:val="22"/>
                <w:szCs w:val="22"/>
              </w:rPr>
              <w:t>a) Funds allocated</w:t>
            </w:r>
          </w:p>
        </w:tc>
        <w:tc>
          <w:tcPr>
            <w:tcW w:w="1289" w:type="dxa"/>
            <w:vAlign w:val="center"/>
          </w:tcPr>
          <w:p w:rsidR="00101D7D" w:rsidRDefault="00101D7D" w:rsidP="00D42D0B">
            <w:pPr>
              <w:jc w:val="center"/>
              <w:rPr>
                <w:color w:val="000000"/>
                <w:sz w:val="22"/>
                <w:szCs w:val="22"/>
              </w:rPr>
            </w:pPr>
            <w:r>
              <w:rPr>
                <w:color w:val="000000"/>
                <w:sz w:val="22"/>
                <w:szCs w:val="22"/>
              </w:rPr>
              <w:t xml:space="preserve">$346,000 </w:t>
            </w:r>
          </w:p>
        </w:tc>
      </w:tr>
      <w:tr w:rsidR="00101D7D" w:rsidRPr="00345611" w:rsidTr="00101D7D">
        <w:trPr>
          <w:jc w:val="center"/>
        </w:trPr>
        <w:tc>
          <w:tcPr>
            <w:tcW w:w="3060" w:type="dxa"/>
          </w:tcPr>
          <w:p w:rsidR="00101D7D" w:rsidRPr="00660997" w:rsidRDefault="00101D7D" w:rsidP="00D42D0B">
            <w:pPr>
              <w:rPr>
                <w:sz w:val="22"/>
                <w:szCs w:val="22"/>
              </w:rPr>
            </w:pPr>
            <w:r w:rsidRPr="00660997">
              <w:rPr>
                <w:sz w:val="22"/>
                <w:szCs w:val="22"/>
              </w:rPr>
              <w:t xml:space="preserve">b) Actual costs to date </w:t>
            </w:r>
          </w:p>
        </w:tc>
        <w:tc>
          <w:tcPr>
            <w:tcW w:w="1289" w:type="dxa"/>
            <w:vAlign w:val="center"/>
          </w:tcPr>
          <w:p w:rsidR="00101D7D" w:rsidRDefault="00101D7D" w:rsidP="00D42D0B">
            <w:pPr>
              <w:jc w:val="center"/>
              <w:rPr>
                <w:color w:val="000000"/>
                <w:sz w:val="22"/>
                <w:szCs w:val="22"/>
              </w:rPr>
            </w:pPr>
            <w:r>
              <w:rPr>
                <w:color w:val="000000"/>
                <w:sz w:val="22"/>
                <w:szCs w:val="22"/>
              </w:rPr>
              <w:t xml:space="preserve">$338,712 </w:t>
            </w:r>
          </w:p>
        </w:tc>
      </w:tr>
      <w:tr w:rsidR="00101D7D" w:rsidRPr="00345611" w:rsidTr="00101D7D">
        <w:trPr>
          <w:jc w:val="center"/>
        </w:trPr>
        <w:tc>
          <w:tcPr>
            <w:tcW w:w="3060" w:type="dxa"/>
          </w:tcPr>
          <w:p w:rsidR="00101D7D" w:rsidRPr="00660997" w:rsidRDefault="00101D7D" w:rsidP="00D42D0B">
            <w:pPr>
              <w:rPr>
                <w:sz w:val="22"/>
                <w:szCs w:val="22"/>
              </w:rPr>
            </w:pPr>
            <w:r w:rsidRPr="00660997">
              <w:rPr>
                <w:sz w:val="22"/>
                <w:szCs w:val="22"/>
              </w:rPr>
              <w:t>c) Uncosted commitments</w:t>
            </w:r>
          </w:p>
        </w:tc>
        <w:tc>
          <w:tcPr>
            <w:tcW w:w="1289" w:type="dxa"/>
            <w:vAlign w:val="center"/>
          </w:tcPr>
          <w:p w:rsidR="00101D7D" w:rsidRDefault="00101D7D" w:rsidP="00D42D0B">
            <w:pPr>
              <w:jc w:val="center"/>
              <w:rPr>
                <w:color w:val="000000"/>
                <w:sz w:val="22"/>
                <w:szCs w:val="22"/>
              </w:rPr>
            </w:pPr>
            <w:r>
              <w:rPr>
                <w:color w:val="000000"/>
                <w:sz w:val="22"/>
                <w:szCs w:val="22"/>
              </w:rPr>
              <w:t xml:space="preserve">$0 </w:t>
            </w:r>
          </w:p>
        </w:tc>
      </w:tr>
      <w:tr w:rsidR="00101D7D" w:rsidRPr="00345611" w:rsidTr="00101D7D">
        <w:trPr>
          <w:jc w:val="center"/>
        </w:trPr>
        <w:tc>
          <w:tcPr>
            <w:tcW w:w="3060" w:type="dxa"/>
          </w:tcPr>
          <w:p w:rsidR="00101D7D" w:rsidRPr="00660997" w:rsidRDefault="00101D7D" w:rsidP="00D42D0B">
            <w:pPr>
              <w:rPr>
                <w:sz w:val="22"/>
                <w:szCs w:val="22"/>
              </w:rPr>
            </w:pPr>
            <w:r w:rsidRPr="00660997">
              <w:rPr>
                <w:sz w:val="22"/>
                <w:szCs w:val="22"/>
              </w:rPr>
              <w:t xml:space="preserve">d) Uncommitted funds   </w:t>
            </w:r>
          </w:p>
        </w:tc>
        <w:tc>
          <w:tcPr>
            <w:tcW w:w="1289" w:type="dxa"/>
            <w:vAlign w:val="center"/>
          </w:tcPr>
          <w:p w:rsidR="00101D7D" w:rsidRDefault="00101D7D" w:rsidP="00D42D0B">
            <w:pPr>
              <w:jc w:val="center"/>
              <w:rPr>
                <w:color w:val="000000"/>
                <w:sz w:val="22"/>
                <w:szCs w:val="22"/>
              </w:rPr>
            </w:pPr>
            <w:r>
              <w:rPr>
                <w:color w:val="000000"/>
                <w:sz w:val="22"/>
                <w:szCs w:val="22"/>
              </w:rPr>
              <w:t xml:space="preserve">$7,288 </w:t>
            </w:r>
          </w:p>
        </w:tc>
      </w:tr>
    </w:tbl>
    <w:p w:rsidR="00101D7D" w:rsidRDefault="00101D7D" w:rsidP="00062EAE">
      <w:pPr>
        <w:rPr>
          <w:sz w:val="24"/>
          <w:szCs w:val="24"/>
        </w:rPr>
      </w:pPr>
    </w:p>
    <w:p w:rsidR="00992349" w:rsidRPr="00432CFA" w:rsidRDefault="00685C40" w:rsidP="00062EAE">
      <w:pPr>
        <w:rPr>
          <w:b/>
          <w:sz w:val="24"/>
          <w:szCs w:val="24"/>
          <w:u w:val="single"/>
        </w:rPr>
      </w:pPr>
      <w:r w:rsidRPr="00685C40">
        <w:rPr>
          <w:b/>
          <w:sz w:val="24"/>
          <w:szCs w:val="24"/>
          <w:u w:val="single"/>
        </w:rPr>
        <w:t>Details on, or further, issues/concerns</w:t>
      </w:r>
    </w:p>
    <w:p w:rsidR="001F224D" w:rsidRPr="00100716" w:rsidRDefault="00100716" w:rsidP="00062EAE">
      <w:pPr>
        <w:rPr>
          <w:sz w:val="24"/>
          <w:szCs w:val="24"/>
        </w:rPr>
      </w:pPr>
      <w:r>
        <w:rPr>
          <w:sz w:val="24"/>
          <w:szCs w:val="24"/>
        </w:rPr>
        <w:t>None</w:t>
      </w:r>
      <w:r w:rsidR="00966444" w:rsidRPr="00100716">
        <w:rPr>
          <w:sz w:val="24"/>
          <w:szCs w:val="24"/>
        </w:rPr>
        <w:t>.</w:t>
      </w:r>
    </w:p>
    <w:sectPr w:rsidR="001F224D" w:rsidRPr="00100716" w:rsidSect="00692D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CD0"/>
    <w:multiLevelType w:val="hybridMultilevel"/>
    <w:tmpl w:val="ADAC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72EFD"/>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00204"/>
    <w:multiLevelType w:val="hybridMultilevel"/>
    <w:tmpl w:val="ACD2A8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D23AF7"/>
    <w:multiLevelType w:val="hybridMultilevel"/>
    <w:tmpl w:val="D0D8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22175"/>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47131"/>
    <w:multiLevelType w:val="hybridMultilevel"/>
    <w:tmpl w:val="6A9EC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CB1"/>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42601"/>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407627A4"/>
    <w:multiLevelType w:val="hybridMultilevel"/>
    <w:tmpl w:val="E4AA0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BB164F"/>
    <w:multiLevelType w:val="singleLevel"/>
    <w:tmpl w:val="13948E50"/>
    <w:lvl w:ilvl="0">
      <w:start w:val="5"/>
      <w:numFmt w:val="bullet"/>
      <w:lvlText w:val="-"/>
      <w:lvlJc w:val="left"/>
      <w:pPr>
        <w:tabs>
          <w:tab w:val="num" w:pos="360"/>
        </w:tabs>
        <w:ind w:left="360" w:hanging="360"/>
      </w:pPr>
      <w:rPr>
        <w:rFonts w:hint="default"/>
      </w:rPr>
    </w:lvl>
  </w:abstractNum>
  <w:abstractNum w:abstractNumId="10" w15:restartNumberingAfterBreak="0">
    <w:nsid w:val="480651D0"/>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4EA6752B"/>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51F1572F"/>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71D74"/>
    <w:multiLevelType w:val="singleLevel"/>
    <w:tmpl w:val="4B22C9EA"/>
    <w:lvl w:ilvl="0">
      <w:start w:val="1"/>
      <w:numFmt w:val="lowerLetter"/>
      <w:lvlText w:val="%1)"/>
      <w:lvlJc w:val="left"/>
      <w:pPr>
        <w:tabs>
          <w:tab w:val="num" w:pos="720"/>
        </w:tabs>
        <w:ind w:left="720" w:hanging="360"/>
      </w:pPr>
      <w:rPr>
        <w:rFonts w:hint="default"/>
      </w:rPr>
    </w:lvl>
  </w:abstractNum>
  <w:abstractNum w:abstractNumId="15" w15:restartNumberingAfterBreak="0">
    <w:nsid w:val="6BB12B45"/>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7"/>
  </w:num>
  <w:num w:numId="5">
    <w:abstractNumId w:val="9"/>
  </w:num>
  <w:num w:numId="6">
    <w:abstractNumId w:val="5"/>
  </w:num>
  <w:num w:numId="7">
    <w:abstractNumId w:val="8"/>
  </w:num>
  <w:num w:numId="8">
    <w:abstractNumId w:val="3"/>
  </w:num>
  <w:num w:numId="9">
    <w:abstractNumId w:val="12"/>
  </w:num>
  <w:num w:numId="10">
    <w:abstractNumId w:val="0"/>
  </w:num>
  <w:num w:numId="11">
    <w:abstractNumId w:val="4"/>
  </w:num>
  <w:num w:numId="12">
    <w:abstractNumId w:val="13"/>
  </w:num>
  <w:num w:numId="13">
    <w:abstractNumId w:val="6"/>
  </w:num>
  <w:num w:numId="14">
    <w:abstractNumId w:val="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F0"/>
    <w:rsid w:val="00021205"/>
    <w:rsid w:val="000323A0"/>
    <w:rsid w:val="00062EAE"/>
    <w:rsid w:val="00063D5C"/>
    <w:rsid w:val="000674D8"/>
    <w:rsid w:val="00074B84"/>
    <w:rsid w:val="00080312"/>
    <w:rsid w:val="000805C7"/>
    <w:rsid w:val="000922AC"/>
    <w:rsid w:val="000A595E"/>
    <w:rsid w:val="000A7312"/>
    <w:rsid w:val="00100716"/>
    <w:rsid w:val="00101D7D"/>
    <w:rsid w:val="001115A0"/>
    <w:rsid w:val="001303A4"/>
    <w:rsid w:val="00152FDD"/>
    <w:rsid w:val="00167837"/>
    <w:rsid w:val="00167A61"/>
    <w:rsid w:val="001F224D"/>
    <w:rsid w:val="00201E73"/>
    <w:rsid w:val="00226F89"/>
    <w:rsid w:val="00236229"/>
    <w:rsid w:val="00243590"/>
    <w:rsid w:val="00261117"/>
    <w:rsid w:val="00271B33"/>
    <w:rsid w:val="002A12EB"/>
    <w:rsid w:val="002C2246"/>
    <w:rsid w:val="002F633C"/>
    <w:rsid w:val="0032152F"/>
    <w:rsid w:val="00323899"/>
    <w:rsid w:val="003244E2"/>
    <w:rsid w:val="003317FE"/>
    <w:rsid w:val="0033407B"/>
    <w:rsid w:val="00345611"/>
    <w:rsid w:val="00386AD8"/>
    <w:rsid w:val="003A32FB"/>
    <w:rsid w:val="003A4840"/>
    <w:rsid w:val="003B55AA"/>
    <w:rsid w:val="00426408"/>
    <w:rsid w:val="004327EA"/>
    <w:rsid w:val="00432CFA"/>
    <w:rsid w:val="00437E13"/>
    <w:rsid w:val="004427A5"/>
    <w:rsid w:val="00442FF0"/>
    <w:rsid w:val="0045472F"/>
    <w:rsid w:val="0047221E"/>
    <w:rsid w:val="00493CAC"/>
    <w:rsid w:val="004D46D2"/>
    <w:rsid w:val="004D635D"/>
    <w:rsid w:val="005258C4"/>
    <w:rsid w:val="0052694E"/>
    <w:rsid w:val="00550AD1"/>
    <w:rsid w:val="005868AC"/>
    <w:rsid w:val="005D601E"/>
    <w:rsid w:val="005F2806"/>
    <w:rsid w:val="005F2982"/>
    <w:rsid w:val="005F2B02"/>
    <w:rsid w:val="00603960"/>
    <w:rsid w:val="00630E13"/>
    <w:rsid w:val="00654C29"/>
    <w:rsid w:val="00681174"/>
    <w:rsid w:val="00685C40"/>
    <w:rsid w:val="00692D00"/>
    <w:rsid w:val="006C0197"/>
    <w:rsid w:val="006C7E5C"/>
    <w:rsid w:val="0070275C"/>
    <w:rsid w:val="00703940"/>
    <w:rsid w:val="007121D2"/>
    <w:rsid w:val="007727F0"/>
    <w:rsid w:val="00780892"/>
    <w:rsid w:val="00787DF6"/>
    <w:rsid w:val="00790749"/>
    <w:rsid w:val="007A2346"/>
    <w:rsid w:val="007B0E0F"/>
    <w:rsid w:val="007D75AE"/>
    <w:rsid w:val="007F6BFC"/>
    <w:rsid w:val="00837192"/>
    <w:rsid w:val="008469FB"/>
    <w:rsid w:val="00851F8D"/>
    <w:rsid w:val="00867F30"/>
    <w:rsid w:val="00926932"/>
    <w:rsid w:val="00933C8E"/>
    <w:rsid w:val="0096381C"/>
    <w:rsid w:val="00964422"/>
    <w:rsid w:val="00966444"/>
    <w:rsid w:val="0098075F"/>
    <w:rsid w:val="00992349"/>
    <w:rsid w:val="009A6FE2"/>
    <w:rsid w:val="009B2E00"/>
    <w:rsid w:val="009B61F3"/>
    <w:rsid w:val="009C3875"/>
    <w:rsid w:val="009C7FAD"/>
    <w:rsid w:val="009E2333"/>
    <w:rsid w:val="009E6031"/>
    <w:rsid w:val="009E7B53"/>
    <w:rsid w:val="009F0324"/>
    <w:rsid w:val="009F047A"/>
    <w:rsid w:val="009F4332"/>
    <w:rsid w:val="00A21A26"/>
    <w:rsid w:val="00A332C7"/>
    <w:rsid w:val="00A65BBB"/>
    <w:rsid w:val="00A81841"/>
    <w:rsid w:val="00A86CD4"/>
    <w:rsid w:val="00AA7840"/>
    <w:rsid w:val="00B22CC8"/>
    <w:rsid w:val="00B2302C"/>
    <w:rsid w:val="00B92748"/>
    <w:rsid w:val="00BA10C5"/>
    <w:rsid w:val="00BB62C4"/>
    <w:rsid w:val="00BC74FE"/>
    <w:rsid w:val="00BD3992"/>
    <w:rsid w:val="00BF5946"/>
    <w:rsid w:val="00C50A97"/>
    <w:rsid w:val="00C64243"/>
    <w:rsid w:val="00C829AC"/>
    <w:rsid w:val="00CA1157"/>
    <w:rsid w:val="00CB2E7F"/>
    <w:rsid w:val="00CC6209"/>
    <w:rsid w:val="00CE7BC4"/>
    <w:rsid w:val="00D26086"/>
    <w:rsid w:val="00D4360E"/>
    <w:rsid w:val="00D74B4C"/>
    <w:rsid w:val="00DA7CF4"/>
    <w:rsid w:val="00DF0604"/>
    <w:rsid w:val="00DF6D36"/>
    <w:rsid w:val="00E04533"/>
    <w:rsid w:val="00E166C8"/>
    <w:rsid w:val="00E3281B"/>
    <w:rsid w:val="00E740C3"/>
    <w:rsid w:val="00EC34A7"/>
    <w:rsid w:val="00ED3B37"/>
    <w:rsid w:val="00EE5F83"/>
    <w:rsid w:val="00EF608A"/>
    <w:rsid w:val="00F25337"/>
    <w:rsid w:val="00F322B5"/>
    <w:rsid w:val="00F476FA"/>
    <w:rsid w:val="00FB1801"/>
    <w:rsid w:val="00FB6A09"/>
    <w:rsid w:val="00FC3B17"/>
    <w:rsid w:val="00FD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A1623"/>
  <w15:docId w15:val="{6B066FB5-63AC-4E27-928E-AD4E00A2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4B84"/>
    <w:rPr>
      <w:rFonts w:ascii="Tahoma" w:hAnsi="Tahoma"/>
      <w:sz w:val="16"/>
      <w:szCs w:val="16"/>
    </w:rPr>
  </w:style>
  <w:style w:type="character" w:styleId="CommentReference">
    <w:name w:val="annotation reference"/>
    <w:basedOn w:val="DefaultParagraphFont"/>
    <w:rsid w:val="00271B33"/>
    <w:rPr>
      <w:sz w:val="16"/>
      <w:szCs w:val="16"/>
    </w:rPr>
  </w:style>
  <w:style w:type="paragraph" w:styleId="CommentText">
    <w:name w:val="annotation text"/>
    <w:basedOn w:val="Normal"/>
    <w:link w:val="CommentTextChar"/>
    <w:rsid w:val="00271B33"/>
  </w:style>
  <w:style w:type="character" w:customStyle="1" w:styleId="CommentTextChar">
    <w:name w:val="Comment Text Char"/>
    <w:basedOn w:val="DefaultParagraphFont"/>
    <w:link w:val="CommentText"/>
    <w:rsid w:val="00271B33"/>
  </w:style>
  <w:style w:type="paragraph" w:styleId="CommentSubject">
    <w:name w:val="annotation subject"/>
    <w:basedOn w:val="CommentText"/>
    <w:next w:val="CommentText"/>
    <w:link w:val="CommentSubjectChar"/>
    <w:rsid w:val="00271B33"/>
    <w:rPr>
      <w:b/>
      <w:bCs/>
    </w:rPr>
  </w:style>
  <w:style w:type="character" w:customStyle="1" w:styleId="CommentSubjectChar">
    <w:name w:val="Comment Subject Char"/>
    <w:basedOn w:val="CommentTextChar"/>
    <w:link w:val="CommentSubject"/>
    <w:rsid w:val="00271B33"/>
    <w:rPr>
      <w:b/>
      <w:bCs/>
    </w:rPr>
  </w:style>
  <w:style w:type="paragraph" w:customStyle="1" w:styleId="Default">
    <w:name w:val="Default"/>
    <w:rsid w:val="00100716"/>
    <w:pPr>
      <w:autoSpaceDE w:val="0"/>
      <w:autoSpaceDN w:val="0"/>
      <w:adjustRightInd w:val="0"/>
    </w:pPr>
    <w:rPr>
      <w:rFonts w:eastAsia="Calibri"/>
      <w:color w:val="000000"/>
      <w:sz w:val="24"/>
      <w:szCs w:val="24"/>
    </w:rPr>
  </w:style>
  <w:style w:type="paragraph" w:customStyle="1" w:styleId="1">
    <w:name w:val="Абзац списка1"/>
    <w:basedOn w:val="Normal"/>
    <w:rsid w:val="003A4840"/>
    <w:pPr>
      <w:spacing w:after="200" w:line="276" w:lineRule="auto"/>
      <w:ind w:left="720"/>
      <w:contextualSpacing/>
    </w:pPr>
    <w:rPr>
      <w:rFonts w:ascii="Calibri" w:hAnsi="Calibri"/>
      <w:sz w:val="22"/>
      <w:szCs w:val="22"/>
      <w:lang w:val="ru-RU" w:eastAsia="ru-RU"/>
    </w:rPr>
  </w:style>
  <w:style w:type="paragraph" w:customStyle="1" w:styleId="BodytextIndented">
    <w:name w:val="BodytextIndented"/>
    <w:basedOn w:val="Normal"/>
    <w:rsid w:val="003A4840"/>
    <w:pPr>
      <w:ind w:firstLine="284"/>
      <w:jc w:val="both"/>
    </w:pPr>
    <w:rPr>
      <w:rFonts w:ascii="Times" w:hAnsi="Times"/>
      <w:iCs/>
      <w:color w:val="000000"/>
      <w:sz w:val="22"/>
      <w:szCs w:val="22"/>
    </w:rPr>
  </w:style>
  <w:style w:type="paragraph" w:styleId="HTMLPreformatted">
    <w:name w:val="HTML Preformatted"/>
    <w:basedOn w:val="Normal"/>
    <w:link w:val="HTMLPreformattedChar"/>
    <w:uiPriority w:val="99"/>
    <w:unhideWhenUsed/>
    <w:rsid w:val="003A4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A4840"/>
    <w:rPr>
      <w:rFonts w:ascii="Courier New" w:hAnsi="Courier New" w:cs="Courier New"/>
    </w:rPr>
  </w:style>
  <w:style w:type="paragraph" w:customStyle="1" w:styleId="JReference">
    <w:name w:val="J_Reference"/>
    <w:basedOn w:val="Normal"/>
    <w:link w:val="JReferenceChar"/>
    <w:qFormat/>
    <w:rsid w:val="003A4840"/>
    <w:pPr>
      <w:tabs>
        <w:tab w:val="left" w:pos="360"/>
      </w:tabs>
      <w:ind w:left="360" w:hanging="360"/>
    </w:pPr>
    <w:rPr>
      <w:rFonts w:ascii="Times" w:hAnsi="Times"/>
      <w:szCs w:val="24"/>
      <w:lang w:val="en-GB"/>
    </w:rPr>
  </w:style>
  <w:style w:type="character" w:customStyle="1" w:styleId="JReferenceChar">
    <w:name w:val="J_Reference Char"/>
    <w:link w:val="JReference"/>
    <w:rsid w:val="003A4840"/>
    <w:rPr>
      <w:rFonts w:ascii="Times" w:hAnsi="Times"/>
      <w:szCs w:val="24"/>
      <w:lang w:val="en-GB"/>
    </w:rPr>
  </w:style>
  <w:style w:type="paragraph" w:styleId="NormalWeb">
    <w:name w:val="Normal (Web)"/>
    <w:basedOn w:val="Normal"/>
    <w:uiPriority w:val="99"/>
    <w:semiHidden/>
    <w:unhideWhenUsed/>
    <w:rsid w:val="003A4840"/>
    <w:pPr>
      <w:spacing w:before="100" w:beforeAutospacing="1" w:after="100" w:afterAutospacing="1"/>
    </w:pPr>
    <w:rPr>
      <w:rFonts w:eastAsiaTheme="minorEastAsia"/>
      <w:sz w:val="24"/>
      <w:szCs w:val="24"/>
      <w:lang w:val="ru-RU" w:eastAsia="ru-RU"/>
    </w:rPr>
  </w:style>
  <w:style w:type="paragraph" w:styleId="ListParagraph">
    <w:name w:val="List Paragraph"/>
    <w:basedOn w:val="Normal"/>
    <w:uiPriority w:val="34"/>
    <w:qFormat/>
    <w:rsid w:val="00101D7D"/>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733</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Quarterly Review Plan:</vt:lpstr>
    </vt:vector>
  </TitlesOfParts>
  <Company>Dept. of Energy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Review Plan:</dc:title>
  <dc:subject/>
  <dc:creator>Office of Science</dc:creator>
  <cp:keywords/>
  <dc:description/>
  <cp:lastModifiedBy>morozov</cp:lastModifiedBy>
  <cp:revision>5</cp:revision>
  <cp:lastPrinted>2006-04-05T19:58:00Z</cp:lastPrinted>
  <dcterms:created xsi:type="dcterms:W3CDTF">2018-07-26T18:22:00Z</dcterms:created>
  <dcterms:modified xsi:type="dcterms:W3CDTF">2018-07-26T19:47:00Z</dcterms:modified>
</cp:coreProperties>
</file>